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DF" w:rsidRDefault="00F806DF">
      <w:bookmarkStart w:id="0" w:name="_GoBack"/>
      <w:bookmarkEnd w:id="0"/>
      <w:r>
        <w:t xml:space="preserve">                                          </w:t>
      </w:r>
    </w:p>
    <w:p w:rsidR="00F806DF" w:rsidRDefault="00F806DF">
      <w:r>
        <w:t xml:space="preserve"> </w:t>
      </w:r>
    </w:p>
    <w:p w:rsidR="00F806DF" w:rsidRDefault="00F806DF" w:rsidP="00F806DF">
      <w:pPr>
        <w:rPr>
          <w:rFonts w:ascii="Franklin Gothic Demi" w:hAnsi="Franklin Gothic Demi"/>
          <w:sz w:val="36"/>
          <w:szCs w:val="36"/>
        </w:rPr>
      </w:pPr>
      <w:r>
        <w:rPr>
          <w:rFonts w:ascii="Franklin Gothic Demi" w:hAnsi="Franklin Gothic Demi"/>
          <w:noProof/>
          <w:sz w:val="36"/>
          <w:szCs w:val="36"/>
        </w:rPr>
        <w:drawing>
          <wp:inline distT="0" distB="0" distL="0" distR="0" wp14:anchorId="3EBE8A72">
            <wp:extent cx="990600" cy="13093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8753" cy="1320146"/>
                    </a:xfrm>
                    <a:prstGeom prst="rect">
                      <a:avLst/>
                    </a:prstGeom>
                    <a:noFill/>
                  </pic:spPr>
                </pic:pic>
              </a:graphicData>
            </a:graphic>
          </wp:inline>
        </w:drawing>
      </w:r>
      <w:r>
        <w:rPr>
          <w:rFonts w:ascii="Franklin Gothic Demi" w:hAnsi="Franklin Gothic Demi"/>
          <w:sz w:val="36"/>
          <w:szCs w:val="36"/>
        </w:rPr>
        <w:t xml:space="preserve">     </w:t>
      </w:r>
    </w:p>
    <w:p w:rsidR="00F806DF" w:rsidRDefault="00F806DF" w:rsidP="00F806DF">
      <w:pPr>
        <w:rPr>
          <w:rFonts w:ascii="Franklin Gothic Demi" w:hAnsi="Franklin Gothic Demi"/>
          <w:sz w:val="36"/>
          <w:szCs w:val="36"/>
        </w:rPr>
      </w:pPr>
      <w:r>
        <w:rPr>
          <w:rFonts w:ascii="Franklin Gothic Demi" w:hAnsi="Franklin Gothic Demi"/>
          <w:sz w:val="36"/>
          <w:szCs w:val="36"/>
        </w:rPr>
        <w:t xml:space="preserve">OFFICE </w:t>
      </w:r>
      <w:r w:rsidRPr="004D72FE">
        <w:rPr>
          <w:rFonts w:ascii="Franklin Gothic Demi" w:hAnsi="Franklin Gothic Demi"/>
          <w:sz w:val="36"/>
          <w:szCs w:val="36"/>
        </w:rPr>
        <w:t>OF THE DEPUTY GOVERNOR</w:t>
      </w:r>
    </w:p>
    <w:p w:rsidR="00F806DF" w:rsidRDefault="00F806DF" w:rsidP="00F806DF">
      <w:pPr>
        <w:ind w:right="-540"/>
        <w:rPr>
          <w:rFonts w:ascii="Franklin Gothic Demi" w:hAnsi="Franklin Gothic Demi"/>
          <w:sz w:val="26"/>
          <w:szCs w:val="26"/>
        </w:rPr>
      </w:pPr>
      <w:r>
        <w:rPr>
          <w:rFonts w:ascii="Franklin Gothic Demi" w:hAnsi="Franklin Gothic Demi"/>
          <w:sz w:val="26"/>
          <w:szCs w:val="26"/>
        </w:rPr>
        <w:t>#3 Farara Plaza</w:t>
      </w:r>
    </w:p>
    <w:p w:rsidR="00F806DF" w:rsidRDefault="00F806DF" w:rsidP="00F806DF">
      <w:pPr>
        <w:ind w:right="-540"/>
        <w:rPr>
          <w:rFonts w:ascii="Franklin Gothic Demi" w:hAnsi="Franklin Gothic Demi"/>
          <w:sz w:val="26"/>
          <w:szCs w:val="26"/>
        </w:rPr>
      </w:pPr>
      <w:r>
        <w:rPr>
          <w:rFonts w:ascii="Franklin Gothic Demi" w:hAnsi="Franklin Gothic Demi"/>
          <w:sz w:val="26"/>
          <w:szCs w:val="26"/>
        </w:rPr>
        <w:t>Brade</w:t>
      </w:r>
    </w:p>
    <w:p w:rsidR="00F806DF" w:rsidRPr="00147D37" w:rsidRDefault="00F806DF" w:rsidP="00F806DF">
      <w:pPr>
        <w:ind w:right="-540"/>
        <w:rPr>
          <w:rFonts w:ascii="Franklin Gothic Demi" w:hAnsi="Franklin Gothic Demi"/>
          <w:sz w:val="26"/>
          <w:szCs w:val="26"/>
        </w:rPr>
      </w:pPr>
      <w:r w:rsidRPr="00147D37">
        <w:rPr>
          <w:rFonts w:ascii="Franklin Gothic Demi" w:hAnsi="Franklin Gothic Demi"/>
          <w:sz w:val="26"/>
          <w:szCs w:val="26"/>
        </w:rPr>
        <w:t>Montserrat, West Indies</w:t>
      </w:r>
    </w:p>
    <w:p w:rsidR="00F806DF" w:rsidRPr="00147D37" w:rsidRDefault="00F806DF" w:rsidP="00F806DF">
      <w:pPr>
        <w:rPr>
          <w:rFonts w:ascii="Franklin Gothic Demi" w:hAnsi="Franklin Gothic Demi"/>
          <w:sz w:val="26"/>
          <w:szCs w:val="26"/>
        </w:rPr>
      </w:pPr>
    </w:p>
    <w:p w:rsidR="00F806DF" w:rsidRPr="00DA6505" w:rsidRDefault="00F806DF" w:rsidP="00F806DF">
      <w:pPr>
        <w:rPr>
          <w:rFonts w:ascii="Franklin Gothic Demi" w:hAnsi="Franklin Gothic Demi"/>
          <w:sz w:val="20"/>
          <w:szCs w:val="20"/>
        </w:rPr>
      </w:pPr>
      <w:r w:rsidRPr="00DA6505">
        <w:rPr>
          <w:rFonts w:ascii="Franklin Gothic Demi" w:hAnsi="Franklin Gothic Demi"/>
          <w:sz w:val="20"/>
          <w:szCs w:val="20"/>
        </w:rPr>
        <w:t>Tel: 1-664-491-6524</w:t>
      </w:r>
      <w:r w:rsidRPr="00DA6505">
        <w:rPr>
          <w:rFonts w:ascii="Franklin Gothic Demi" w:hAnsi="Franklin Gothic Demi"/>
          <w:sz w:val="20"/>
          <w:szCs w:val="20"/>
        </w:rPr>
        <w:tab/>
        <w:t xml:space="preserve">      Fax: 1-664-491-9751       Email: </w:t>
      </w:r>
      <w:hyperlink r:id="rId8" w:history="1">
        <w:r w:rsidRPr="006B2B73">
          <w:rPr>
            <w:rStyle w:val="Hyperlink"/>
            <w:rFonts w:ascii="Franklin Gothic Demi" w:hAnsi="Franklin Gothic Demi"/>
            <w:sz w:val="20"/>
            <w:szCs w:val="20"/>
          </w:rPr>
          <w:t>odg@gov.ms</w:t>
        </w:r>
      </w:hyperlink>
    </w:p>
    <w:p w:rsidR="00F806DF" w:rsidRPr="00621D5A" w:rsidRDefault="00F806DF" w:rsidP="00F806DF">
      <w:r>
        <w:rPr>
          <w:rFonts w:ascii="Franklin Gothic Demi" w:hAnsi="Franklin Gothic Demi"/>
          <w:sz w:val="22"/>
          <w:szCs w:val="22"/>
        </w:rPr>
        <w:t>--------------------------------------------------------------------------------------------------------------------------------------------------------</w:t>
      </w:r>
    </w:p>
    <w:p w:rsidR="00082286" w:rsidRDefault="00082286"/>
    <w:p w:rsidR="00082286" w:rsidRPr="00621D5A" w:rsidRDefault="00F806DF" w:rsidP="00082286">
      <w:r>
        <w:rPr>
          <w:rFonts w:ascii="Franklin Gothic Demi" w:hAnsi="Franklin Gothic Demi"/>
          <w:sz w:val="36"/>
          <w:szCs w:val="36"/>
        </w:rPr>
        <w:t xml:space="preserve">    </w:t>
      </w:r>
    </w:p>
    <w:p w:rsidR="00082286" w:rsidRPr="00147D37" w:rsidRDefault="00082286" w:rsidP="00082286">
      <w:pPr>
        <w:rPr>
          <w:rFonts w:ascii="Franklin Gothic Demi" w:hAnsi="Franklin Gothic Demi"/>
          <w:sz w:val="22"/>
          <w:szCs w:val="22"/>
        </w:rPr>
      </w:pPr>
    </w:p>
    <w:p w:rsidR="00082286" w:rsidRDefault="00082286" w:rsidP="00F806DF">
      <w:pPr>
        <w:autoSpaceDE w:val="0"/>
        <w:autoSpaceDN w:val="0"/>
        <w:spacing w:after="100" w:afterAutospacing="1"/>
        <w:contextualSpacing/>
        <w:rPr>
          <w:rFonts w:ascii="Arial" w:hAnsi="Arial" w:cs="Arial"/>
          <w:b/>
        </w:rPr>
      </w:pPr>
      <w:r w:rsidRPr="00913724">
        <w:rPr>
          <w:rFonts w:ascii="Arial" w:hAnsi="Arial" w:cs="Arial"/>
          <w:b/>
        </w:rPr>
        <w:t>Tender for Workforce Strategy and Plan Technical Consultancy</w:t>
      </w:r>
      <w:r>
        <w:rPr>
          <w:rFonts w:ascii="Arial" w:hAnsi="Arial" w:cs="Arial"/>
          <w:b/>
        </w:rPr>
        <w:t xml:space="preserve"> (WS&amp;PTC)</w:t>
      </w:r>
    </w:p>
    <w:p w:rsidR="00F806DF" w:rsidRDefault="00F806DF" w:rsidP="00F806DF">
      <w:pPr>
        <w:autoSpaceDE w:val="0"/>
        <w:autoSpaceDN w:val="0"/>
        <w:spacing w:after="100" w:afterAutospacing="1"/>
        <w:contextualSpacing/>
        <w:rPr>
          <w:rFonts w:ascii="Arial" w:hAnsi="Arial" w:cs="Arial"/>
          <w:color w:val="000000"/>
        </w:rPr>
      </w:pPr>
    </w:p>
    <w:p w:rsidR="004E5302" w:rsidRDefault="00610C09" w:rsidP="00610C09">
      <w:r>
        <w:t>A</w:t>
      </w:r>
      <w:r>
        <w:rPr>
          <w:spacing w:val="-1"/>
        </w:rPr>
        <w:t>D</w:t>
      </w:r>
      <w:r>
        <w:t>D</w:t>
      </w:r>
      <w:r>
        <w:rPr>
          <w:spacing w:val="-1"/>
        </w:rPr>
        <w:t>E</w:t>
      </w:r>
      <w:r>
        <w:t>N</w:t>
      </w:r>
      <w:r>
        <w:rPr>
          <w:spacing w:val="-1"/>
        </w:rPr>
        <w:t>D</w:t>
      </w:r>
      <w:r>
        <w:t xml:space="preserve">UM # 2: </w:t>
      </w:r>
      <w:r w:rsidR="008D35D2">
        <w:t>Appendix 1 and Schedule B wo</w:t>
      </w:r>
      <w:r w:rsidR="004E5302">
        <w:t>rd version and revised Tender.</w:t>
      </w:r>
    </w:p>
    <w:p w:rsidR="004E5302" w:rsidRDefault="004E5302" w:rsidP="00610C09"/>
    <w:p w:rsidR="004E5302" w:rsidRDefault="004E5302" w:rsidP="004E5302">
      <w:pPr>
        <w:pStyle w:val="ListParagraph"/>
        <w:numPr>
          <w:ilvl w:val="0"/>
          <w:numId w:val="1"/>
        </w:numPr>
        <w:spacing w:after="160" w:line="259" w:lineRule="auto"/>
        <w:rPr>
          <w:rFonts w:ascii="Arial" w:hAnsi="Arial" w:cs="Arial"/>
        </w:rPr>
      </w:pPr>
      <w:r>
        <w:t>Please note attached Appendix 1</w:t>
      </w:r>
      <w:r w:rsidR="008D35D2">
        <w:t xml:space="preserve"> </w:t>
      </w:r>
      <w:r>
        <w:rPr>
          <w:rFonts w:ascii="Arial" w:hAnsi="Arial" w:cs="Arial"/>
        </w:rPr>
        <w:t>Deliverables Performance Reporting (Word version requested as part of the clarifications)</w:t>
      </w:r>
    </w:p>
    <w:p w:rsidR="00AE73EC" w:rsidRDefault="00AE73EC" w:rsidP="00AE73EC">
      <w:pPr>
        <w:pStyle w:val="ListParagraph"/>
        <w:numPr>
          <w:ilvl w:val="0"/>
          <w:numId w:val="1"/>
        </w:numPr>
        <w:spacing w:after="160" w:line="259" w:lineRule="auto"/>
        <w:rPr>
          <w:rFonts w:ascii="Arial" w:hAnsi="Arial" w:cs="Arial"/>
        </w:rPr>
      </w:pPr>
      <w:r>
        <w:rPr>
          <w:rFonts w:ascii="Arial" w:hAnsi="Arial" w:cs="Arial"/>
        </w:rPr>
        <w:t xml:space="preserve">Schedule B - Service and </w:t>
      </w:r>
      <w:r w:rsidRPr="00913724">
        <w:rPr>
          <w:rFonts w:ascii="Arial" w:hAnsi="Arial" w:cs="Arial"/>
        </w:rPr>
        <w:t xml:space="preserve">Cost </w:t>
      </w:r>
      <w:r>
        <w:rPr>
          <w:rFonts w:ascii="Arial" w:hAnsi="Arial" w:cs="Arial"/>
        </w:rPr>
        <w:t>proposal</w:t>
      </w:r>
    </w:p>
    <w:p w:rsidR="000C15C7" w:rsidRDefault="00AE73EC" w:rsidP="000C15C7">
      <w:pPr>
        <w:pStyle w:val="ListParagraph"/>
        <w:numPr>
          <w:ilvl w:val="0"/>
          <w:numId w:val="1"/>
        </w:numPr>
        <w:spacing w:after="160" w:line="259" w:lineRule="auto"/>
        <w:rPr>
          <w:rFonts w:ascii="Arial" w:hAnsi="Arial" w:cs="Arial"/>
        </w:rPr>
      </w:pPr>
      <w:r>
        <w:rPr>
          <w:rFonts w:ascii="Arial" w:hAnsi="Arial" w:cs="Arial"/>
        </w:rPr>
        <w:t>Please note the following amendments have been made to the Tender Dossier</w:t>
      </w:r>
      <w:r w:rsidR="000C15C7">
        <w:rPr>
          <w:rFonts w:ascii="Arial" w:hAnsi="Arial" w:cs="Arial"/>
        </w:rPr>
        <w:t xml:space="preserve"> following from clarifications raised</w:t>
      </w:r>
      <w:r>
        <w:rPr>
          <w:rFonts w:ascii="Arial" w:hAnsi="Arial" w:cs="Arial"/>
        </w:rPr>
        <w:t>;</w:t>
      </w:r>
    </w:p>
    <w:p w:rsidR="00993369" w:rsidRPr="00993369" w:rsidRDefault="00993369" w:rsidP="00993369">
      <w:pPr>
        <w:spacing w:after="160" w:line="259" w:lineRule="auto"/>
        <w:rPr>
          <w:rFonts w:ascii="Arial" w:hAnsi="Arial" w:cs="Arial"/>
        </w:rPr>
      </w:pPr>
      <w:r>
        <w:rPr>
          <w:rFonts w:ascii="Arial" w:hAnsi="Arial" w:cs="Arial"/>
        </w:rPr>
        <w:t xml:space="preserve">Clarification Questions and Responses pertaining to amendments to the Tender Dossier  </w:t>
      </w:r>
    </w:p>
    <w:tbl>
      <w:tblPr>
        <w:tblStyle w:val="TableGrid"/>
        <w:tblW w:w="0" w:type="auto"/>
        <w:tblLook w:val="04A0" w:firstRow="1" w:lastRow="0" w:firstColumn="1" w:lastColumn="0" w:noHBand="0" w:noVBand="1"/>
      </w:tblPr>
      <w:tblGrid>
        <w:gridCol w:w="808"/>
        <w:gridCol w:w="4110"/>
        <w:gridCol w:w="4432"/>
      </w:tblGrid>
      <w:tr w:rsidR="00AE73EC" w:rsidRPr="0058421A" w:rsidTr="000C15C7">
        <w:tc>
          <w:tcPr>
            <w:tcW w:w="808" w:type="dxa"/>
          </w:tcPr>
          <w:p w:rsidR="00AE73EC" w:rsidRPr="0058421A" w:rsidRDefault="00AE73EC" w:rsidP="00D85586">
            <w:pPr>
              <w:rPr>
                <w:rFonts w:ascii="Arial" w:hAnsi="Arial" w:cs="Arial"/>
              </w:rPr>
            </w:pPr>
            <w:r w:rsidRPr="0058421A">
              <w:rPr>
                <w:rFonts w:ascii="Arial" w:hAnsi="Arial" w:cs="Arial"/>
              </w:rPr>
              <w:t>2.</w:t>
            </w:r>
          </w:p>
        </w:tc>
        <w:tc>
          <w:tcPr>
            <w:tcW w:w="4110" w:type="dxa"/>
          </w:tcPr>
          <w:p w:rsidR="00AE73EC" w:rsidRPr="0058421A" w:rsidRDefault="00AE73EC" w:rsidP="00D85586">
            <w:pPr>
              <w:rPr>
                <w:rFonts w:ascii="Arial" w:hAnsi="Arial" w:cs="Arial"/>
              </w:rPr>
            </w:pPr>
            <w:r w:rsidRPr="0058421A">
              <w:rPr>
                <w:rFonts w:ascii="Arial" w:hAnsi="Arial" w:cs="Arial"/>
              </w:rPr>
              <w:t>One of the deliverables (the 6</w:t>
            </w:r>
            <w:r w:rsidRPr="0058421A">
              <w:rPr>
                <w:rFonts w:ascii="Arial" w:hAnsi="Arial" w:cs="Arial"/>
                <w:vertAlign w:val="superscript"/>
              </w:rPr>
              <w:t>th</w:t>
            </w:r>
            <w:r w:rsidRPr="0058421A">
              <w:rPr>
                <w:rFonts w:ascii="Arial" w:hAnsi="Arial" w:cs="Arial"/>
              </w:rPr>
              <w:t xml:space="preserve"> one on page 20) is listed as: “An up to date HRIS System and Terms of Reference/Job Descriptions which targets and clearly aligns to Organization’s goals.” </w:t>
            </w:r>
          </w:p>
          <w:p w:rsidR="00AE73EC" w:rsidRPr="0058421A" w:rsidRDefault="00AE73EC" w:rsidP="00AE73EC">
            <w:pPr>
              <w:rPr>
                <w:rFonts w:ascii="Arial" w:hAnsi="Arial" w:cs="Arial"/>
              </w:rPr>
            </w:pPr>
          </w:p>
        </w:tc>
        <w:tc>
          <w:tcPr>
            <w:tcW w:w="4432" w:type="dxa"/>
          </w:tcPr>
          <w:p w:rsidR="00AE73EC" w:rsidRPr="0058421A" w:rsidRDefault="00AE73EC" w:rsidP="00D85586">
            <w:pPr>
              <w:rPr>
                <w:rFonts w:ascii="Arial" w:hAnsi="Arial" w:cs="Arial"/>
              </w:rPr>
            </w:pPr>
            <w:r w:rsidRPr="0058421A">
              <w:rPr>
                <w:rFonts w:ascii="Arial" w:hAnsi="Arial" w:cs="Arial"/>
              </w:rPr>
              <w:t xml:space="preserve"> </w:t>
            </w:r>
          </w:p>
          <w:p w:rsidR="00AE73EC" w:rsidRPr="0058421A" w:rsidRDefault="00AE73EC" w:rsidP="00D85586">
            <w:pPr>
              <w:rPr>
                <w:rFonts w:ascii="Arial" w:hAnsi="Arial" w:cs="Arial"/>
              </w:rPr>
            </w:pPr>
            <w:r w:rsidRPr="0058421A">
              <w:rPr>
                <w:rFonts w:ascii="Arial" w:hAnsi="Arial" w:cs="Arial"/>
              </w:rPr>
              <w:t xml:space="preserve">This is no longer relevant or applicable.  Therefore please ignore this deliverable (6). </w:t>
            </w:r>
          </w:p>
          <w:p w:rsidR="00AE73EC" w:rsidRPr="0058421A" w:rsidRDefault="00AE73EC" w:rsidP="00D85586">
            <w:pPr>
              <w:rPr>
                <w:rFonts w:ascii="Arial" w:hAnsi="Arial" w:cs="Arial"/>
              </w:rPr>
            </w:pPr>
            <w:r w:rsidRPr="0058421A">
              <w:rPr>
                <w:rFonts w:ascii="Arial" w:hAnsi="Arial" w:cs="Arial"/>
              </w:rPr>
              <w:t xml:space="preserve">This has been removed from the updated version of the </w:t>
            </w:r>
            <w:r w:rsidR="000C15C7" w:rsidRPr="0058421A">
              <w:rPr>
                <w:rFonts w:ascii="Arial" w:hAnsi="Arial" w:cs="Arial"/>
              </w:rPr>
              <w:t>Tender</w:t>
            </w:r>
            <w:r w:rsidRPr="0058421A">
              <w:rPr>
                <w:rFonts w:ascii="Arial" w:hAnsi="Arial" w:cs="Arial"/>
              </w:rPr>
              <w:t>. This will be uploaded on both website todays.</w:t>
            </w:r>
          </w:p>
        </w:tc>
      </w:tr>
      <w:tr w:rsidR="000C15C7" w:rsidRPr="0058421A" w:rsidTr="000C15C7">
        <w:tc>
          <w:tcPr>
            <w:tcW w:w="808" w:type="dxa"/>
          </w:tcPr>
          <w:p w:rsidR="000C15C7" w:rsidRPr="0058421A" w:rsidRDefault="000C15C7" w:rsidP="00D85586">
            <w:pPr>
              <w:rPr>
                <w:rFonts w:ascii="Arial" w:hAnsi="Arial" w:cs="Arial"/>
              </w:rPr>
            </w:pPr>
            <w:r w:rsidRPr="0058421A">
              <w:rPr>
                <w:rFonts w:ascii="Arial" w:hAnsi="Arial" w:cs="Arial"/>
              </w:rPr>
              <w:lastRenderedPageBreak/>
              <w:t>8</w:t>
            </w:r>
          </w:p>
        </w:tc>
        <w:tc>
          <w:tcPr>
            <w:tcW w:w="4110" w:type="dxa"/>
          </w:tcPr>
          <w:p w:rsidR="000C15C7" w:rsidRPr="0058421A" w:rsidRDefault="000C15C7" w:rsidP="00D85586">
            <w:pPr>
              <w:rPr>
                <w:rFonts w:ascii="Arial" w:hAnsi="Arial" w:cs="Arial"/>
              </w:rPr>
            </w:pPr>
            <w:r w:rsidRPr="0058421A">
              <w:rPr>
                <w:rFonts w:ascii="Arial" w:hAnsi="Arial" w:cs="Arial"/>
              </w:rPr>
              <w:t>Is there a word version of the table on Page 25 that I can be sent.  I am unable to complete the table in PDF format, and recreating would take some time.</w:t>
            </w:r>
          </w:p>
          <w:p w:rsidR="000C15C7" w:rsidRPr="0058421A" w:rsidRDefault="000C15C7" w:rsidP="00D85586">
            <w:pPr>
              <w:rPr>
                <w:rFonts w:ascii="Arial" w:hAnsi="Arial" w:cs="Arial"/>
              </w:rPr>
            </w:pPr>
          </w:p>
        </w:tc>
        <w:tc>
          <w:tcPr>
            <w:tcW w:w="4432" w:type="dxa"/>
          </w:tcPr>
          <w:p w:rsidR="000C15C7" w:rsidRPr="0058421A" w:rsidRDefault="000C15C7" w:rsidP="00D85586">
            <w:pPr>
              <w:rPr>
                <w:rFonts w:ascii="Arial" w:hAnsi="Arial" w:cs="Arial"/>
              </w:rPr>
            </w:pPr>
            <w:r w:rsidRPr="0058421A">
              <w:rPr>
                <w:rFonts w:ascii="Arial" w:hAnsi="Arial" w:cs="Arial"/>
              </w:rPr>
              <w:t>Yes, this will be uploaded on MyTenders and the GoM website today.</w:t>
            </w:r>
          </w:p>
          <w:p w:rsidR="000C15C7" w:rsidRPr="0058421A" w:rsidRDefault="000C15C7" w:rsidP="00D85586">
            <w:pPr>
              <w:rPr>
                <w:rFonts w:ascii="Arial" w:hAnsi="Arial" w:cs="Arial"/>
              </w:rPr>
            </w:pPr>
          </w:p>
          <w:p w:rsidR="000C15C7" w:rsidRPr="0058421A" w:rsidRDefault="000C15C7" w:rsidP="00D85586">
            <w:pPr>
              <w:rPr>
                <w:rFonts w:ascii="Arial" w:hAnsi="Arial" w:cs="Arial"/>
              </w:rPr>
            </w:pPr>
          </w:p>
        </w:tc>
      </w:tr>
      <w:tr w:rsidR="00676BB0" w:rsidRPr="0058421A" w:rsidTr="00676BB0">
        <w:tc>
          <w:tcPr>
            <w:tcW w:w="808" w:type="dxa"/>
          </w:tcPr>
          <w:p w:rsidR="00676BB0" w:rsidRPr="0058421A" w:rsidRDefault="00676BB0" w:rsidP="00D85586">
            <w:pPr>
              <w:rPr>
                <w:rFonts w:ascii="Arial" w:hAnsi="Arial" w:cs="Arial"/>
              </w:rPr>
            </w:pPr>
            <w:r w:rsidRPr="0058421A">
              <w:rPr>
                <w:rFonts w:ascii="Arial" w:hAnsi="Arial" w:cs="Arial"/>
              </w:rPr>
              <w:t>18</w:t>
            </w:r>
          </w:p>
        </w:tc>
        <w:tc>
          <w:tcPr>
            <w:tcW w:w="4110" w:type="dxa"/>
          </w:tcPr>
          <w:p w:rsidR="00676BB0" w:rsidRPr="0058421A" w:rsidRDefault="00676BB0" w:rsidP="00D85586">
            <w:pPr>
              <w:rPr>
                <w:rFonts w:ascii="Arial" w:hAnsi="Arial" w:cs="Arial"/>
              </w:rPr>
            </w:pPr>
            <w:r w:rsidRPr="0058421A">
              <w:rPr>
                <w:rFonts w:ascii="Arial" w:hAnsi="Arial" w:cs="Arial"/>
              </w:rPr>
              <w:t>I am required to sign a statement saying that I “undertake to provide services in accordance with the Constructions Management Agreement”. Can I have a copy of this document please.</w:t>
            </w:r>
          </w:p>
          <w:p w:rsidR="00676BB0" w:rsidRPr="0058421A" w:rsidRDefault="00676BB0" w:rsidP="00D85586">
            <w:pPr>
              <w:rPr>
                <w:rFonts w:ascii="Arial" w:hAnsi="Arial" w:cs="Arial"/>
              </w:rPr>
            </w:pPr>
          </w:p>
        </w:tc>
        <w:tc>
          <w:tcPr>
            <w:tcW w:w="4432" w:type="dxa"/>
          </w:tcPr>
          <w:p w:rsidR="00676BB0" w:rsidRPr="0058421A" w:rsidRDefault="00676BB0" w:rsidP="00D85586">
            <w:pPr>
              <w:rPr>
                <w:rFonts w:ascii="Arial" w:hAnsi="Arial" w:cs="Arial"/>
              </w:rPr>
            </w:pPr>
            <w:r w:rsidRPr="0058421A">
              <w:rPr>
                <w:rFonts w:ascii="Arial" w:hAnsi="Arial" w:cs="Arial"/>
              </w:rPr>
              <w:t>This is an error.</w:t>
            </w:r>
          </w:p>
          <w:p w:rsidR="00676BB0" w:rsidRPr="0058421A" w:rsidRDefault="00676BB0" w:rsidP="00D85586">
            <w:pPr>
              <w:rPr>
                <w:rFonts w:ascii="Arial" w:hAnsi="Arial" w:cs="Arial"/>
              </w:rPr>
            </w:pPr>
            <w:r w:rsidRPr="0058421A">
              <w:rPr>
                <w:rFonts w:ascii="Arial" w:hAnsi="Arial" w:cs="Arial"/>
              </w:rPr>
              <w:t xml:space="preserve">The correct wording is  </w:t>
            </w:r>
          </w:p>
          <w:p w:rsidR="00676BB0" w:rsidRPr="0058421A" w:rsidRDefault="00676BB0" w:rsidP="00676BB0">
            <w:pPr>
              <w:pStyle w:val="ListParagraph"/>
              <w:numPr>
                <w:ilvl w:val="0"/>
                <w:numId w:val="3"/>
              </w:numPr>
              <w:spacing w:after="160" w:line="259" w:lineRule="auto"/>
              <w:rPr>
                <w:rFonts w:ascii="Arial" w:hAnsi="Arial" w:cs="Arial"/>
                <w:sz w:val="24"/>
                <w:szCs w:val="24"/>
              </w:rPr>
            </w:pPr>
            <w:r w:rsidRPr="0058421A">
              <w:rPr>
                <w:rFonts w:ascii="Arial" w:hAnsi="Arial" w:cs="Arial"/>
                <w:sz w:val="24"/>
                <w:szCs w:val="24"/>
              </w:rPr>
              <w:t>I/We the undersigned undertake to provide services in accordance with the Agreement (Service contract) and Schedule A –Terms of Reference</w:t>
            </w:r>
          </w:p>
          <w:p w:rsidR="00676BB0" w:rsidRPr="0058421A" w:rsidRDefault="00676BB0" w:rsidP="00D85586">
            <w:pPr>
              <w:rPr>
                <w:rFonts w:ascii="Arial" w:hAnsi="Arial" w:cs="Arial"/>
              </w:rPr>
            </w:pPr>
            <w:r w:rsidRPr="0058421A">
              <w:rPr>
                <w:rFonts w:ascii="Arial" w:hAnsi="Arial" w:cs="Arial"/>
              </w:rPr>
              <w:t xml:space="preserve">This has been amended in the updated version of the Tender that will be uploaded on the 2 websites. </w:t>
            </w:r>
          </w:p>
          <w:p w:rsidR="00676BB0" w:rsidRPr="0058421A" w:rsidRDefault="00676BB0" w:rsidP="00D85586">
            <w:pPr>
              <w:rPr>
                <w:rFonts w:ascii="Arial" w:hAnsi="Arial" w:cs="Arial"/>
              </w:rPr>
            </w:pPr>
          </w:p>
        </w:tc>
      </w:tr>
    </w:tbl>
    <w:p w:rsidR="00AE73EC" w:rsidRDefault="00AE73EC" w:rsidP="00AE73EC">
      <w:pPr>
        <w:spacing w:after="160" w:line="259" w:lineRule="auto"/>
        <w:rPr>
          <w:rFonts w:ascii="Arial" w:hAnsi="Arial" w:cs="Arial"/>
        </w:rPr>
      </w:pPr>
    </w:p>
    <w:p w:rsidR="00993369" w:rsidRPr="00AE73EC" w:rsidRDefault="00993369" w:rsidP="00AE73EC">
      <w:pPr>
        <w:spacing w:after="160" w:line="259" w:lineRule="auto"/>
        <w:rPr>
          <w:rFonts w:ascii="Arial" w:hAnsi="Arial" w:cs="Arial"/>
        </w:rPr>
      </w:pPr>
    </w:p>
    <w:p w:rsidR="004E5302" w:rsidRDefault="004E5302" w:rsidP="00AE73EC">
      <w:pPr>
        <w:pStyle w:val="ListParagraph"/>
        <w:spacing w:after="160" w:line="259" w:lineRule="auto"/>
        <w:rPr>
          <w:rFonts w:ascii="Arial" w:hAnsi="Arial" w:cs="Arial"/>
        </w:rPr>
      </w:pPr>
    </w:p>
    <w:p w:rsidR="00AE73EC" w:rsidRPr="00913724" w:rsidRDefault="00AE73EC" w:rsidP="00AE73EC">
      <w:pPr>
        <w:pStyle w:val="ListParagraph"/>
        <w:spacing w:after="160" w:line="259" w:lineRule="auto"/>
        <w:rPr>
          <w:rFonts w:ascii="Arial" w:hAnsi="Arial" w:cs="Arial"/>
        </w:rPr>
      </w:pPr>
    </w:p>
    <w:p w:rsidR="00610C09" w:rsidRDefault="00610C09" w:rsidP="00610C09"/>
    <w:p w:rsidR="00610C09" w:rsidRDefault="00610C09" w:rsidP="00610C09">
      <w:pPr>
        <w:spacing w:before="7" w:line="120" w:lineRule="exact"/>
        <w:rPr>
          <w:sz w:val="13"/>
          <w:szCs w:val="13"/>
        </w:rPr>
      </w:pPr>
    </w:p>
    <w:p w:rsidR="00610C09" w:rsidRDefault="00610C09" w:rsidP="00610C09">
      <w:pPr>
        <w:spacing w:line="200" w:lineRule="exact"/>
      </w:pPr>
    </w:p>
    <w:p w:rsidR="00610C09" w:rsidRDefault="00610C09" w:rsidP="00610C09">
      <w:pPr>
        <w:spacing w:line="200" w:lineRule="exact"/>
      </w:pPr>
      <w:r>
        <w:t xml:space="preserve">  </w:t>
      </w:r>
    </w:p>
    <w:p w:rsidR="00082286" w:rsidRPr="00913724" w:rsidRDefault="00082286" w:rsidP="00082286">
      <w:pPr>
        <w:spacing w:after="100" w:afterAutospacing="1"/>
        <w:contextualSpacing/>
        <w:rPr>
          <w:rFonts w:ascii="Arial" w:hAnsi="Arial" w:cs="Arial"/>
        </w:rPr>
      </w:pPr>
      <w:r>
        <w:rPr>
          <w:rFonts w:ascii="Arial" w:hAnsi="Arial" w:cs="Arial"/>
          <w:noProof/>
        </w:rPr>
        <w:drawing>
          <wp:inline distT="0" distB="0" distL="0" distR="0">
            <wp:extent cx="1804670" cy="59753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4670" cy="597535"/>
                    </a:xfrm>
                    <a:prstGeom prst="rect">
                      <a:avLst/>
                    </a:prstGeom>
                    <a:noFill/>
                  </pic:spPr>
                </pic:pic>
              </a:graphicData>
            </a:graphic>
          </wp:inline>
        </w:drawing>
      </w:r>
    </w:p>
    <w:p w:rsidR="00082286" w:rsidRPr="00913724" w:rsidRDefault="00082286" w:rsidP="00082286">
      <w:pPr>
        <w:spacing w:after="100" w:afterAutospacing="1"/>
        <w:contextualSpacing/>
        <w:rPr>
          <w:rFonts w:ascii="Arial" w:hAnsi="Arial" w:cs="Arial"/>
        </w:rPr>
      </w:pPr>
      <w:r w:rsidRPr="00913724">
        <w:rPr>
          <w:rFonts w:ascii="Arial" w:hAnsi="Arial" w:cs="Arial"/>
        </w:rPr>
        <w:t>……………………………..</w:t>
      </w:r>
    </w:p>
    <w:p w:rsidR="00082286" w:rsidRPr="00913724" w:rsidRDefault="00082286" w:rsidP="00082286">
      <w:pPr>
        <w:rPr>
          <w:rFonts w:ascii="Arial" w:hAnsi="Arial" w:cs="Arial"/>
          <w:b/>
          <w:bCs/>
          <w:iCs/>
        </w:rPr>
      </w:pPr>
      <w:r>
        <w:rPr>
          <w:rFonts w:ascii="Arial" w:hAnsi="Arial" w:cs="Arial"/>
          <w:b/>
          <w:bCs/>
          <w:iCs/>
        </w:rPr>
        <w:t>Mrs. Cheverlyn Williams-Kirnon</w:t>
      </w:r>
    </w:p>
    <w:p w:rsidR="00082286" w:rsidRDefault="00082286" w:rsidP="00082286">
      <w:pPr>
        <w:ind w:right="-18"/>
        <w:rPr>
          <w:rFonts w:ascii="Arial" w:hAnsi="Arial" w:cs="Arial"/>
          <w:b/>
          <w:bCs/>
        </w:rPr>
      </w:pPr>
      <w:r>
        <w:rPr>
          <w:rFonts w:ascii="Arial" w:hAnsi="Arial" w:cs="Arial"/>
          <w:b/>
          <w:bCs/>
        </w:rPr>
        <w:t>Director, ODG/Empowering Excellence Programme (EEP) Manager</w:t>
      </w:r>
    </w:p>
    <w:p w:rsidR="00082286" w:rsidRDefault="00082286" w:rsidP="00082286">
      <w:pPr>
        <w:ind w:right="-18"/>
        <w:rPr>
          <w:rFonts w:ascii="Arial" w:hAnsi="Arial" w:cs="Arial"/>
          <w:b/>
          <w:bCs/>
        </w:rPr>
      </w:pPr>
      <w:r>
        <w:rPr>
          <w:rFonts w:ascii="Arial" w:hAnsi="Arial" w:cs="Arial"/>
          <w:b/>
          <w:bCs/>
        </w:rPr>
        <w:t>Office of the Deputy Governor</w:t>
      </w:r>
    </w:p>
    <w:p w:rsidR="00082286" w:rsidRDefault="00082286" w:rsidP="00082286">
      <w:pPr>
        <w:ind w:right="-18"/>
        <w:rPr>
          <w:rFonts w:ascii="Arial" w:hAnsi="Arial" w:cs="Arial"/>
          <w:b/>
          <w:bCs/>
        </w:rPr>
      </w:pPr>
    </w:p>
    <w:p w:rsidR="00082286" w:rsidRDefault="00082286"/>
    <w:p w:rsidR="002162F4" w:rsidRDefault="002162F4" w:rsidP="002162F4">
      <w:pPr>
        <w:spacing w:after="150" w:line="330" w:lineRule="atLeast"/>
        <w:jc w:val="both"/>
        <w:rPr>
          <w:rFonts w:ascii="Arial" w:hAnsi="Arial" w:cs="Arial"/>
          <w:bCs/>
          <w:color w:val="000000"/>
          <w:sz w:val="28"/>
          <w:szCs w:val="28"/>
        </w:rPr>
      </w:pPr>
    </w:p>
    <w:p w:rsidR="002162F4" w:rsidRDefault="002162F4" w:rsidP="002162F4">
      <w:pPr>
        <w:spacing w:after="150" w:line="330" w:lineRule="atLeast"/>
        <w:jc w:val="both"/>
        <w:rPr>
          <w:rFonts w:ascii="Arial" w:hAnsi="Arial" w:cs="Arial"/>
          <w:bCs/>
          <w:color w:val="000000"/>
          <w:sz w:val="28"/>
          <w:szCs w:val="28"/>
        </w:rPr>
      </w:pPr>
    </w:p>
    <w:p w:rsidR="002162F4" w:rsidRDefault="002162F4" w:rsidP="002162F4">
      <w:pPr>
        <w:spacing w:after="150" w:line="330" w:lineRule="atLeast"/>
        <w:jc w:val="both"/>
        <w:rPr>
          <w:rFonts w:ascii="Arial" w:hAnsi="Arial" w:cs="Arial"/>
          <w:bCs/>
          <w:color w:val="000000"/>
          <w:sz w:val="28"/>
          <w:szCs w:val="28"/>
        </w:rPr>
      </w:pPr>
    </w:p>
    <w:p w:rsidR="002162F4" w:rsidRDefault="002162F4" w:rsidP="002162F4">
      <w:pPr>
        <w:spacing w:after="150" w:line="330" w:lineRule="atLeast"/>
        <w:jc w:val="both"/>
        <w:rPr>
          <w:rFonts w:ascii="Arial" w:hAnsi="Arial" w:cs="Arial"/>
          <w:bCs/>
          <w:color w:val="000000"/>
          <w:sz w:val="28"/>
          <w:szCs w:val="28"/>
        </w:rPr>
      </w:pPr>
    </w:p>
    <w:p w:rsidR="002162F4" w:rsidRDefault="002162F4" w:rsidP="002162F4">
      <w:pPr>
        <w:spacing w:after="150" w:line="330" w:lineRule="atLeast"/>
        <w:jc w:val="both"/>
        <w:rPr>
          <w:rFonts w:ascii="Arial" w:hAnsi="Arial" w:cs="Arial"/>
          <w:bCs/>
          <w:color w:val="000000"/>
          <w:sz w:val="28"/>
          <w:szCs w:val="28"/>
        </w:rPr>
      </w:pPr>
    </w:p>
    <w:p w:rsidR="002162F4" w:rsidRDefault="002162F4" w:rsidP="002162F4">
      <w:pPr>
        <w:spacing w:after="150" w:line="330" w:lineRule="atLeast"/>
        <w:jc w:val="both"/>
        <w:rPr>
          <w:rFonts w:ascii="Arial" w:hAnsi="Arial" w:cs="Arial"/>
          <w:bCs/>
          <w:color w:val="000000"/>
          <w:sz w:val="28"/>
          <w:szCs w:val="28"/>
        </w:rPr>
      </w:pPr>
    </w:p>
    <w:p w:rsidR="002162F4" w:rsidRDefault="002162F4" w:rsidP="002162F4">
      <w:pPr>
        <w:spacing w:after="150" w:line="330" w:lineRule="atLeast"/>
        <w:jc w:val="both"/>
        <w:rPr>
          <w:rFonts w:ascii="Arial" w:hAnsi="Arial" w:cs="Arial"/>
          <w:bCs/>
          <w:color w:val="000000"/>
          <w:sz w:val="28"/>
          <w:szCs w:val="28"/>
        </w:rPr>
      </w:pPr>
    </w:p>
    <w:p w:rsidR="002162F4" w:rsidRDefault="002162F4" w:rsidP="002162F4">
      <w:pPr>
        <w:spacing w:after="150" w:line="330" w:lineRule="atLeast"/>
        <w:jc w:val="both"/>
        <w:rPr>
          <w:rFonts w:ascii="Arial" w:hAnsi="Arial" w:cs="Arial"/>
          <w:bCs/>
          <w:color w:val="000000"/>
          <w:sz w:val="28"/>
          <w:szCs w:val="28"/>
        </w:rPr>
      </w:pPr>
    </w:p>
    <w:p w:rsidR="002162F4" w:rsidRDefault="002162F4" w:rsidP="002162F4">
      <w:pPr>
        <w:spacing w:after="150" w:line="330" w:lineRule="atLeast"/>
        <w:jc w:val="both"/>
        <w:rPr>
          <w:rFonts w:ascii="Arial" w:hAnsi="Arial" w:cs="Arial"/>
          <w:bCs/>
          <w:color w:val="000000"/>
          <w:sz w:val="28"/>
          <w:szCs w:val="28"/>
        </w:rPr>
      </w:pPr>
    </w:p>
    <w:p w:rsidR="002162F4" w:rsidRDefault="002162F4" w:rsidP="002162F4">
      <w:pPr>
        <w:spacing w:after="150" w:line="330" w:lineRule="atLeast"/>
        <w:jc w:val="both"/>
        <w:rPr>
          <w:rFonts w:ascii="Arial" w:hAnsi="Arial" w:cs="Arial"/>
          <w:bCs/>
          <w:color w:val="000000"/>
          <w:sz w:val="28"/>
          <w:szCs w:val="28"/>
        </w:rPr>
      </w:pPr>
    </w:p>
    <w:p w:rsidR="002162F4" w:rsidRDefault="002162F4" w:rsidP="002162F4">
      <w:pPr>
        <w:spacing w:after="150" w:line="330" w:lineRule="atLeast"/>
        <w:jc w:val="both"/>
        <w:rPr>
          <w:rFonts w:ascii="Arial" w:hAnsi="Arial" w:cs="Arial"/>
          <w:bCs/>
          <w:color w:val="000000"/>
          <w:sz w:val="28"/>
          <w:szCs w:val="28"/>
        </w:rPr>
      </w:pPr>
    </w:p>
    <w:p w:rsidR="002162F4" w:rsidRPr="0095591D" w:rsidRDefault="002162F4" w:rsidP="002162F4">
      <w:pPr>
        <w:spacing w:after="150" w:line="330" w:lineRule="atLeast"/>
        <w:jc w:val="both"/>
        <w:rPr>
          <w:rFonts w:ascii="Arial" w:hAnsi="Arial" w:cs="Arial"/>
          <w:bCs/>
          <w:color w:val="000000"/>
          <w:sz w:val="28"/>
          <w:szCs w:val="28"/>
        </w:rPr>
      </w:pPr>
      <w:r w:rsidRPr="0095591D">
        <w:rPr>
          <w:rFonts w:ascii="Arial" w:hAnsi="Arial" w:cs="Arial"/>
          <w:bCs/>
          <w:color w:val="000000"/>
          <w:sz w:val="28"/>
          <w:szCs w:val="28"/>
        </w:rPr>
        <w:t>APPENDIX 1.</w:t>
      </w:r>
    </w:p>
    <w:p w:rsidR="002162F4" w:rsidRPr="00612668" w:rsidRDefault="002162F4" w:rsidP="002162F4">
      <w:pPr>
        <w:spacing w:before="100" w:beforeAutospacing="1" w:after="100" w:afterAutospacing="1"/>
        <w:jc w:val="both"/>
        <w:rPr>
          <w:rFonts w:ascii="Arial" w:hAnsi="Arial" w:cs="Arial"/>
          <w:b/>
          <w:bCs/>
          <w:color w:val="000000"/>
          <w:u w:val="single"/>
        </w:rPr>
      </w:pPr>
      <w:r w:rsidRPr="00612668">
        <w:rPr>
          <w:rFonts w:ascii="Arial" w:hAnsi="Arial" w:cs="Arial"/>
          <w:b/>
          <w:bCs/>
          <w:color w:val="000000"/>
          <w:u w:val="single"/>
        </w:rPr>
        <w:t xml:space="preserve">Performance Reporting Requirements </w:t>
      </w:r>
    </w:p>
    <w:p w:rsidR="002162F4" w:rsidRPr="00B804B6" w:rsidRDefault="002162F4" w:rsidP="002162F4">
      <w:pPr>
        <w:spacing w:after="150" w:line="330" w:lineRule="atLeast"/>
        <w:jc w:val="both"/>
        <w:rPr>
          <w:rFonts w:ascii="Arial" w:hAnsi="Arial" w:cs="Arial"/>
          <w:b/>
          <w:bCs/>
          <w:color w:val="000000"/>
          <w:u w:val="single"/>
        </w:rPr>
      </w:pPr>
      <w:r w:rsidRPr="00B804B6">
        <w:rPr>
          <w:rFonts w:ascii="Arial" w:hAnsi="Arial" w:cs="Arial"/>
          <w:b/>
          <w:color w:val="000000"/>
          <w:u w:val="single"/>
        </w:rPr>
        <w:t xml:space="preserve">NB*This report must be submitted within 10 working days of the commencement of the project.  </w:t>
      </w:r>
    </w:p>
    <w:p w:rsidR="002162F4" w:rsidRDefault="002162F4" w:rsidP="002162F4">
      <w:pPr>
        <w:spacing w:after="150" w:line="330" w:lineRule="atLeast"/>
        <w:jc w:val="both"/>
        <w:rPr>
          <w:rFonts w:ascii="Arial" w:hAnsi="Arial" w:cs="Arial"/>
          <w:b/>
          <w:color w:val="000000"/>
          <w:sz w:val="28"/>
          <w:szCs w:val="28"/>
          <w:u w:val="single"/>
        </w:rPr>
      </w:pPr>
      <w:r w:rsidRPr="00612668">
        <w:rPr>
          <w:rFonts w:ascii="Arial" w:hAnsi="Arial" w:cs="Arial"/>
          <w:b/>
          <w:color w:val="000000"/>
          <w:sz w:val="28"/>
          <w:szCs w:val="28"/>
          <w:u w:val="single"/>
        </w:rPr>
        <w:t>Deliverables:  Performance Report Appendix 1.</w:t>
      </w:r>
    </w:p>
    <w:p w:rsidR="002162F4" w:rsidRPr="00612668" w:rsidRDefault="002162F4" w:rsidP="002162F4">
      <w:pPr>
        <w:spacing w:after="150" w:line="330" w:lineRule="atLeast"/>
        <w:jc w:val="both"/>
        <w:rPr>
          <w:rFonts w:ascii="Arial" w:hAnsi="Arial" w:cs="Arial"/>
          <w:b/>
          <w:color w:val="000000"/>
          <w:sz w:val="28"/>
          <w:szCs w:val="28"/>
          <w:u w:val="single"/>
        </w:rPr>
      </w:pPr>
    </w:p>
    <w:tbl>
      <w:tblPr>
        <w:tblW w:w="107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2"/>
        <w:gridCol w:w="4981"/>
        <w:gridCol w:w="1597"/>
      </w:tblGrid>
      <w:tr w:rsidR="002162F4" w:rsidTr="00D85586">
        <w:trPr>
          <w:tblHeader/>
        </w:trPr>
        <w:tc>
          <w:tcPr>
            <w:tcW w:w="4132" w:type="dxa"/>
            <w:shd w:val="clear" w:color="auto" w:fill="A8D08D"/>
          </w:tcPr>
          <w:p w:rsidR="002162F4" w:rsidRPr="00BA02FE" w:rsidRDefault="002162F4" w:rsidP="00D85586">
            <w:pPr>
              <w:rPr>
                <w:rFonts w:ascii="Calibri" w:eastAsia="Calibri" w:hAnsi="Calibri"/>
                <w:sz w:val="22"/>
                <w:szCs w:val="22"/>
              </w:rPr>
            </w:pPr>
            <w:r w:rsidRPr="00BA02FE">
              <w:rPr>
                <w:rFonts w:ascii="Arial" w:eastAsia="Calibri" w:hAnsi="Arial" w:cs="Arial"/>
                <w:b/>
                <w:bCs/>
                <w:color w:val="000000"/>
                <w:sz w:val="22"/>
                <w:szCs w:val="22"/>
                <w:lang w:val="en-GB"/>
              </w:rPr>
              <w:t>Output/Deliverables/Functions</w:t>
            </w:r>
          </w:p>
        </w:tc>
        <w:tc>
          <w:tcPr>
            <w:tcW w:w="4981" w:type="dxa"/>
            <w:shd w:val="clear" w:color="auto" w:fill="A8D08D"/>
          </w:tcPr>
          <w:p w:rsidR="002162F4" w:rsidRPr="00BA02FE" w:rsidRDefault="002162F4" w:rsidP="00D85586">
            <w:pPr>
              <w:rPr>
                <w:rFonts w:ascii="Calibri" w:eastAsia="Calibri" w:hAnsi="Calibri"/>
                <w:sz w:val="22"/>
                <w:szCs w:val="22"/>
              </w:rPr>
            </w:pPr>
            <w:r w:rsidRPr="00BA02FE">
              <w:rPr>
                <w:rFonts w:ascii="Arial" w:eastAsia="Calibri" w:hAnsi="Arial" w:cs="Arial"/>
                <w:b/>
                <w:bCs/>
                <w:color w:val="000000"/>
                <w:sz w:val="22"/>
                <w:szCs w:val="22"/>
                <w:lang w:val="en-GB"/>
              </w:rPr>
              <w:t>Performance Indicators/Description/Reports</w:t>
            </w:r>
          </w:p>
        </w:tc>
        <w:tc>
          <w:tcPr>
            <w:tcW w:w="1597" w:type="dxa"/>
            <w:shd w:val="clear" w:color="auto" w:fill="A8D08D"/>
          </w:tcPr>
          <w:p w:rsidR="002162F4" w:rsidRPr="00BA02FE" w:rsidRDefault="002162F4" w:rsidP="00D85586">
            <w:pPr>
              <w:rPr>
                <w:rFonts w:ascii="Calibri" w:eastAsia="Calibri" w:hAnsi="Calibri"/>
                <w:sz w:val="22"/>
                <w:szCs w:val="22"/>
              </w:rPr>
            </w:pPr>
            <w:r w:rsidRPr="00BA02FE">
              <w:rPr>
                <w:rFonts w:ascii="Arial" w:eastAsia="Calibri" w:hAnsi="Arial" w:cs="Arial"/>
                <w:b/>
                <w:bCs/>
                <w:color w:val="000000"/>
                <w:sz w:val="22"/>
                <w:szCs w:val="22"/>
                <w:lang w:val="en-GB"/>
              </w:rPr>
              <w:t>Timelines</w:t>
            </w:r>
          </w:p>
        </w:tc>
      </w:tr>
      <w:tr w:rsidR="002162F4" w:rsidTr="00D85586">
        <w:tc>
          <w:tcPr>
            <w:tcW w:w="4132" w:type="dxa"/>
            <w:shd w:val="clear" w:color="auto" w:fill="auto"/>
          </w:tcPr>
          <w:p w:rsidR="002162F4" w:rsidRPr="0049681D" w:rsidRDefault="002162F4" w:rsidP="002162F4">
            <w:pPr>
              <w:pStyle w:val="ListParagraph"/>
              <w:numPr>
                <w:ilvl w:val="0"/>
                <w:numId w:val="6"/>
              </w:numPr>
              <w:spacing w:after="0" w:line="240" w:lineRule="auto"/>
            </w:pPr>
            <w:r w:rsidRPr="00BA02FE">
              <w:rPr>
                <w:rFonts w:ascii="Arial" w:eastAsia="Times New Roman" w:hAnsi="Arial" w:cs="Arial"/>
                <w:bCs/>
                <w:color w:val="000000"/>
              </w:rPr>
              <w:t>Inception Report, Work Plan and Consultation Strategy:      </w:t>
            </w:r>
          </w:p>
        </w:tc>
        <w:tc>
          <w:tcPr>
            <w:tcW w:w="4981" w:type="dxa"/>
            <w:shd w:val="clear" w:color="auto" w:fill="auto"/>
          </w:tcPr>
          <w:p w:rsidR="002162F4" w:rsidRPr="00BA02FE" w:rsidRDefault="002162F4" w:rsidP="00D85586">
            <w:pPr>
              <w:ind w:left="76"/>
              <w:jc w:val="both"/>
              <w:rPr>
                <w:rFonts w:ascii="Arial" w:eastAsia="Calibri" w:hAnsi="Arial" w:cs="Arial"/>
                <w:bCs/>
                <w:color w:val="000000"/>
                <w:sz w:val="22"/>
                <w:szCs w:val="22"/>
                <w:lang w:eastAsia="en-GB"/>
              </w:rPr>
            </w:pPr>
            <w:r w:rsidRPr="00BA02FE">
              <w:rPr>
                <w:rFonts w:ascii="Arial" w:eastAsia="Calibri" w:hAnsi="Arial" w:cs="Arial"/>
                <w:bCs/>
                <w:color w:val="000000"/>
                <w:sz w:val="22"/>
                <w:szCs w:val="22"/>
                <w:lang w:eastAsia="en-GB"/>
              </w:rPr>
              <w:t xml:space="preserve">Key issues to be addressed within the scope of the assignment and any issues related to the availability of information and required resources.  Consultancy Work Plan in Table format which includes tasks, duration, start and finish dates and resources. This report must be submitted within 10 working days of the commencement of the project.  </w:t>
            </w:r>
          </w:p>
          <w:p w:rsidR="002162F4" w:rsidRPr="00BA02FE" w:rsidRDefault="002162F4" w:rsidP="00D85586">
            <w:pPr>
              <w:rPr>
                <w:rFonts w:ascii="Calibri" w:eastAsia="Calibri" w:hAnsi="Calibri"/>
                <w:sz w:val="22"/>
                <w:szCs w:val="22"/>
              </w:rPr>
            </w:pPr>
          </w:p>
        </w:tc>
        <w:tc>
          <w:tcPr>
            <w:tcW w:w="1597" w:type="dxa"/>
            <w:shd w:val="clear" w:color="auto" w:fill="auto"/>
          </w:tcPr>
          <w:p w:rsidR="002162F4" w:rsidRPr="00BA02FE" w:rsidRDefault="002162F4" w:rsidP="00D85586">
            <w:pPr>
              <w:rPr>
                <w:rFonts w:ascii="Calibri" w:eastAsia="Calibri" w:hAnsi="Calibri"/>
                <w:sz w:val="22"/>
                <w:szCs w:val="22"/>
              </w:rPr>
            </w:pPr>
          </w:p>
        </w:tc>
      </w:tr>
      <w:tr w:rsidR="002162F4" w:rsidTr="00D85586">
        <w:tc>
          <w:tcPr>
            <w:tcW w:w="4132" w:type="dxa"/>
            <w:shd w:val="clear" w:color="auto" w:fill="auto"/>
          </w:tcPr>
          <w:p w:rsidR="002162F4" w:rsidRPr="00710425" w:rsidRDefault="002162F4" w:rsidP="002162F4">
            <w:pPr>
              <w:pStyle w:val="ListParagraph"/>
              <w:numPr>
                <w:ilvl w:val="0"/>
                <w:numId w:val="6"/>
              </w:numPr>
              <w:spacing w:after="0" w:line="240" w:lineRule="auto"/>
              <w:jc w:val="both"/>
            </w:pPr>
            <w:r w:rsidRPr="00BA02FE">
              <w:rPr>
                <w:rFonts w:ascii="Arial" w:eastAsia="Times New Roman" w:hAnsi="Arial" w:cs="Arial"/>
                <w:bCs/>
                <w:color w:val="000000"/>
              </w:rPr>
              <w:t>Report on desk review of documents and information related to previous work force initiatives in the Montserrat public sector, and feedback and assessment from stakeholder consultations conducted previously.</w:t>
            </w:r>
          </w:p>
        </w:tc>
        <w:tc>
          <w:tcPr>
            <w:tcW w:w="4981" w:type="dxa"/>
            <w:shd w:val="clear" w:color="auto" w:fill="auto"/>
          </w:tcPr>
          <w:p w:rsidR="002162F4" w:rsidRPr="00BA02FE" w:rsidRDefault="002162F4" w:rsidP="00D85586">
            <w:pPr>
              <w:pStyle w:val="BodyA"/>
              <w:jc w:val="both"/>
              <w:rPr>
                <w:rFonts w:ascii="Arial" w:hAnsi="Arial" w:cs="Arial"/>
                <w:bCs/>
                <w:sz w:val="24"/>
                <w:szCs w:val="24"/>
              </w:rPr>
            </w:pPr>
            <w:r w:rsidRPr="00BA02FE">
              <w:rPr>
                <w:rFonts w:ascii="Arial" w:hAnsi="Arial" w:cs="Arial"/>
                <w:bCs/>
                <w:sz w:val="24"/>
                <w:szCs w:val="24"/>
              </w:rPr>
              <w:t xml:space="preserve">This report should include the following: </w:t>
            </w:r>
          </w:p>
          <w:p w:rsidR="002162F4" w:rsidRPr="00BA02FE" w:rsidRDefault="002162F4" w:rsidP="00D85586">
            <w:pPr>
              <w:pStyle w:val="BodyA"/>
              <w:jc w:val="both"/>
              <w:rPr>
                <w:rFonts w:ascii="Arial" w:hAnsi="Arial" w:cs="Arial"/>
                <w:bCs/>
                <w:sz w:val="24"/>
                <w:szCs w:val="24"/>
              </w:rPr>
            </w:pPr>
            <w:r w:rsidRPr="00BA02FE">
              <w:rPr>
                <w:rFonts w:ascii="Arial" w:hAnsi="Arial" w:cs="Arial"/>
                <w:bCs/>
                <w:sz w:val="24"/>
                <w:szCs w:val="24"/>
              </w:rPr>
              <w:t xml:space="preserve">A listing of the documentation examined and reviewed, inclusive of their origins and authorship. </w:t>
            </w:r>
          </w:p>
          <w:p w:rsidR="002162F4" w:rsidRPr="00BA02FE" w:rsidRDefault="002162F4" w:rsidP="00D85586">
            <w:pPr>
              <w:pStyle w:val="BodyA"/>
              <w:jc w:val="both"/>
              <w:rPr>
                <w:rFonts w:ascii="Arial" w:hAnsi="Arial" w:cs="Arial"/>
                <w:bCs/>
                <w:sz w:val="24"/>
                <w:szCs w:val="24"/>
              </w:rPr>
            </w:pPr>
            <w:r w:rsidRPr="00BA02FE">
              <w:rPr>
                <w:rFonts w:ascii="Arial" w:hAnsi="Arial" w:cs="Arial"/>
                <w:bCs/>
                <w:sz w:val="24"/>
                <w:szCs w:val="24"/>
              </w:rPr>
              <w:t xml:space="preserve">An assessment of the relevance, usefulness and appropriateness of the existing documentation and information examined. </w:t>
            </w:r>
          </w:p>
          <w:p w:rsidR="002162F4" w:rsidRPr="00BA02FE" w:rsidRDefault="002162F4" w:rsidP="00D85586">
            <w:pPr>
              <w:pStyle w:val="BodyA"/>
              <w:jc w:val="both"/>
              <w:rPr>
                <w:rFonts w:ascii="Arial" w:hAnsi="Arial" w:cs="Arial"/>
                <w:bCs/>
                <w:sz w:val="24"/>
                <w:szCs w:val="24"/>
              </w:rPr>
            </w:pPr>
            <w:r w:rsidRPr="00BA02FE">
              <w:rPr>
                <w:rFonts w:ascii="Arial" w:hAnsi="Arial" w:cs="Arial"/>
                <w:bCs/>
                <w:sz w:val="24"/>
                <w:szCs w:val="24"/>
              </w:rPr>
              <w:lastRenderedPageBreak/>
              <w:t>Presentation and analysis of internal work force planning strategic and operational initiatives and identification of possible best practices.</w:t>
            </w:r>
          </w:p>
          <w:p w:rsidR="002162F4" w:rsidRDefault="002162F4" w:rsidP="00D85586">
            <w:pPr>
              <w:rPr>
                <w:rFonts w:ascii="Arial" w:eastAsia="Calibri" w:hAnsi="Arial" w:cs="Arial"/>
                <w:bCs/>
                <w:sz w:val="22"/>
                <w:szCs w:val="22"/>
              </w:rPr>
            </w:pPr>
            <w:r w:rsidRPr="00BA02FE">
              <w:rPr>
                <w:rFonts w:ascii="Arial" w:eastAsia="Calibri" w:hAnsi="Arial" w:cs="Arial"/>
                <w:bCs/>
                <w:sz w:val="22"/>
                <w:szCs w:val="22"/>
              </w:rPr>
              <w:t>Feedback reports from stakeholder consultations.</w:t>
            </w:r>
          </w:p>
          <w:p w:rsidR="002162F4" w:rsidRPr="00BA02FE" w:rsidRDefault="002162F4" w:rsidP="00D85586">
            <w:pPr>
              <w:rPr>
                <w:rFonts w:ascii="Calibri" w:eastAsia="Calibri" w:hAnsi="Calibri"/>
                <w:sz w:val="22"/>
                <w:szCs w:val="22"/>
              </w:rPr>
            </w:pPr>
          </w:p>
        </w:tc>
        <w:tc>
          <w:tcPr>
            <w:tcW w:w="1597" w:type="dxa"/>
            <w:shd w:val="clear" w:color="auto" w:fill="auto"/>
          </w:tcPr>
          <w:p w:rsidR="002162F4" w:rsidRPr="00BA02FE" w:rsidRDefault="002162F4" w:rsidP="00D85586">
            <w:pPr>
              <w:rPr>
                <w:rFonts w:ascii="Calibri" w:eastAsia="Calibri" w:hAnsi="Calibri"/>
                <w:sz w:val="22"/>
                <w:szCs w:val="22"/>
              </w:rPr>
            </w:pPr>
          </w:p>
        </w:tc>
      </w:tr>
      <w:tr w:rsidR="002162F4" w:rsidTr="00D85586">
        <w:tc>
          <w:tcPr>
            <w:tcW w:w="4132" w:type="dxa"/>
            <w:tcBorders>
              <w:top w:val="nil"/>
              <w:left w:val="single" w:sz="8" w:space="0" w:color="000000"/>
              <w:bottom w:val="single" w:sz="8" w:space="0" w:color="000000"/>
              <w:right w:val="single" w:sz="8" w:space="0" w:color="auto"/>
            </w:tcBorders>
            <w:shd w:val="clear" w:color="auto" w:fill="auto"/>
          </w:tcPr>
          <w:p w:rsidR="002162F4" w:rsidRPr="00BA02FE" w:rsidRDefault="002162F4" w:rsidP="002162F4">
            <w:pPr>
              <w:pStyle w:val="ListParagraph"/>
              <w:numPr>
                <w:ilvl w:val="0"/>
                <w:numId w:val="6"/>
              </w:numPr>
              <w:spacing w:before="100" w:beforeAutospacing="1" w:after="100" w:afterAutospacing="1" w:line="252" w:lineRule="auto"/>
              <w:jc w:val="both"/>
              <w:rPr>
                <w:rFonts w:ascii="Arial" w:eastAsia="Times New Roman" w:hAnsi="Arial" w:cs="Arial"/>
                <w:bCs/>
                <w:color w:val="000000"/>
                <w:sz w:val="24"/>
                <w:szCs w:val="24"/>
              </w:rPr>
            </w:pPr>
            <w:r>
              <w:rPr>
                <w:rFonts w:ascii="Arial" w:eastAsia="Times New Roman" w:hAnsi="Arial" w:cs="Arial"/>
                <w:bCs/>
                <w:color w:val="000000"/>
              </w:rPr>
              <w:t>A C</w:t>
            </w:r>
            <w:r w:rsidRPr="00BA02FE">
              <w:rPr>
                <w:rFonts w:ascii="Arial" w:eastAsia="Times New Roman" w:hAnsi="Arial" w:cs="Arial"/>
                <w:bCs/>
                <w:color w:val="000000"/>
              </w:rPr>
              <w:t>ommunicatio</w:t>
            </w:r>
            <w:r>
              <w:rPr>
                <w:rFonts w:ascii="Arial" w:eastAsia="Times New Roman" w:hAnsi="Arial" w:cs="Arial"/>
                <w:bCs/>
                <w:color w:val="000000"/>
              </w:rPr>
              <w:t>n S</w:t>
            </w:r>
            <w:r w:rsidRPr="00BA02FE">
              <w:rPr>
                <w:rFonts w:ascii="Arial" w:eastAsia="Times New Roman" w:hAnsi="Arial" w:cs="Arial"/>
                <w:bCs/>
                <w:color w:val="000000"/>
              </w:rPr>
              <w:t>trategy which addresses approaches to communication, consultation and negotiation and engagement with all stakeholders.</w:t>
            </w:r>
          </w:p>
        </w:tc>
        <w:tc>
          <w:tcPr>
            <w:tcW w:w="4981" w:type="dxa"/>
            <w:tcBorders>
              <w:top w:val="nil"/>
              <w:left w:val="nil"/>
              <w:bottom w:val="single" w:sz="8" w:space="0" w:color="000000"/>
              <w:right w:val="single" w:sz="8" w:space="0" w:color="auto"/>
            </w:tcBorders>
            <w:shd w:val="clear" w:color="auto" w:fill="auto"/>
          </w:tcPr>
          <w:p w:rsidR="002162F4" w:rsidRPr="00BA02FE" w:rsidRDefault="002162F4" w:rsidP="00D85586">
            <w:pPr>
              <w:pStyle w:val="BodyA"/>
              <w:jc w:val="both"/>
              <w:rPr>
                <w:rFonts w:ascii="Arial" w:hAnsi="Arial" w:cs="Arial"/>
                <w:bCs/>
                <w:sz w:val="24"/>
                <w:szCs w:val="24"/>
              </w:rPr>
            </w:pPr>
            <w:r w:rsidRPr="00BA02FE">
              <w:rPr>
                <w:rFonts w:ascii="Arial" w:hAnsi="Arial" w:cs="Arial"/>
                <w:bCs/>
                <w:sz w:val="24"/>
                <w:szCs w:val="24"/>
              </w:rPr>
              <w:t>This report should be submitted within 25 working days of submission of the Inception Report</w:t>
            </w:r>
          </w:p>
        </w:tc>
        <w:tc>
          <w:tcPr>
            <w:tcW w:w="1597" w:type="dxa"/>
            <w:shd w:val="clear" w:color="auto" w:fill="auto"/>
          </w:tcPr>
          <w:p w:rsidR="002162F4" w:rsidRPr="00BA02FE" w:rsidRDefault="002162F4" w:rsidP="00D85586">
            <w:pPr>
              <w:rPr>
                <w:rFonts w:ascii="Calibri" w:eastAsia="Calibri" w:hAnsi="Calibri"/>
                <w:sz w:val="22"/>
                <w:szCs w:val="22"/>
              </w:rPr>
            </w:pPr>
          </w:p>
        </w:tc>
      </w:tr>
      <w:tr w:rsidR="002162F4" w:rsidTr="00D85586">
        <w:tc>
          <w:tcPr>
            <w:tcW w:w="4132" w:type="dxa"/>
            <w:shd w:val="clear" w:color="auto" w:fill="auto"/>
          </w:tcPr>
          <w:p w:rsidR="002162F4" w:rsidRPr="00BA02FE" w:rsidRDefault="002162F4" w:rsidP="002162F4">
            <w:pPr>
              <w:pStyle w:val="ListParagraph"/>
              <w:numPr>
                <w:ilvl w:val="0"/>
                <w:numId w:val="6"/>
              </w:numPr>
              <w:spacing w:before="100" w:beforeAutospacing="1" w:after="100" w:afterAutospacing="1" w:line="252" w:lineRule="auto"/>
              <w:jc w:val="both"/>
              <w:rPr>
                <w:rFonts w:ascii="Arial" w:eastAsia="Times New Roman" w:hAnsi="Arial" w:cs="Arial"/>
                <w:bCs/>
                <w:color w:val="000000"/>
                <w:sz w:val="24"/>
                <w:szCs w:val="24"/>
              </w:rPr>
            </w:pPr>
            <w:r w:rsidRPr="00BA02FE">
              <w:rPr>
                <w:rFonts w:ascii="Arial" w:eastAsia="Times New Roman" w:hAnsi="Arial" w:cs="Arial"/>
                <w:bCs/>
                <w:color w:val="000000"/>
              </w:rPr>
              <w:t>First Draft of Workforce Strategy and Action Plan</w:t>
            </w:r>
          </w:p>
        </w:tc>
        <w:tc>
          <w:tcPr>
            <w:tcW w:w="4981" w:type="dxa"/>
            <w:shd w:val="clear" w:color="auto" w:fill="auto"/>
          </w:tcPr>
          <w:p w:rsidR="002162F4" w:rsidRPr="00BA02FE" w:rsidRDefault="002162F4" w:rsidP="00D85586">
            <w:pPr>
              <w:pStyle w:val="BodyA"/>
              <w:jc w:val="both"/>
              <w:rPr>
                <w:rFonts w:ascii="Arial" w:hAnsi="Arial" w:cs="Arial"/>
                <w:bCs/>
                <w:sz w:val="24"/>
                <w:szCs w:val="24"/>
              </w:rPr>
            </w:pPr>
            <w:r w:rsidRPr="00BA02FE">
              <w:rPr>
                <w:rFonts w:ascii="Arial" w:hAnsi="Arial" w:cs="Arial"/>
                <w:bCs/>
                <w:sz w:val="24"/>
                <w:szCs w:val="24"/>
              </w:rPr>
              <w:t xml:space="preserve">This draft should include the following areas: </w:t>
            </w:r>
          </w:p>
          <w:p w:rsidR="002162F4" w:rsidRPr="00BA02FE" w:rsidRDefault="002162F4" w:rsidP="002162F4">
            <w:pPr>
              <w:pStyle w:val="Body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Cs/>
                <w:sz w:val="24"/>
                <w:szCs w:val="24"/>
              </w:rPr>
            </w:pPr>
            <w:r w:rsidRPr="00BA02FE">
              <w:rPr>
                <w:rFonts w:ascii="Arial" w:hAnsi="Arial" w:cs="Arial"/>
                <w:bCs/>
                <w:sz w:val="24"/>
                <w:szCs w:val="24"/>
              </w:rPr>
              <w:t xml:space="preserve">A philosophy which is to guide all aspects of workforce planning in terms of how employees are attracted, recruited and retained; learning and development; succession planning; talent management; leadership and development and Performance Management.  </w:t>
            </w:r>
          </w:p>
          <w:p w:rsidR="002162F4" w:rsidRPr="00BA02FE" w:rsidRDefault="002162F4" w:rsidP="002162F4">
            <w:pPr>
              <w:pStyle w:val="Body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Cs/>
                <w:sz w:val="24"/>
                <w:szCs w:val="24"/>
              </w:rPr>
            </w:pPr>
            <w:r w:rsidRPr="00BA02FE">
              <w:rPr>
                <w:rFonts w:ascii="Arial" w:hAnsi="Arial" w:cs="Arial"/>
                <w:bCs/>
                <w:sz w:val="24"/>
                <w:szCs w:val="24"/>
              </w:rPr>
              <w:t>Policies, regulations and procedures relating to the handling of staff matters arising out of organizational reviews in the public sector.</w:t>
            </w:r>
          </w:p>
          <w:p w:rsidR="002162F4" w:rsidRPr="00BA02FE" w:rsidRDefault="002162F4" w:rsidP="002162F4">
            <w:pPr>
              <w:pStyle w:val="Body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Cs/>
                <w:sz w:val="24"/>
                <w:szCs w:val="24"/>
              </w:rPr>
            </w:pPr>
            <w:r w:rsidRPr="00BA02FE">
              <w:rPr>
                <w:rFonts w:ascii="Arial" w:hAnsi="Arial" w:cs="Arial"/>
                <w:bCs/>
                <w:sz w:val="24"/>
                <w:szCs w:val="24"/>
              </w:rPr>
              <w:t xml:space="preserve">Relevant protocols and consultation procedures. </w:t>
            </w:r>
          </w:p>
          <w:p w:rsidR="002162F4" w:rsidRPr="00BA02FE" w:rsidRDefault="002162F4" w:rsidP="002162F4">
            <w:pPr>
              <w:pStyle w:val="Body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Cs/>
                <w:sz w:val="24"/>
                <w:szCs w:val="24"/>
              </w:rPr>
            </w:pPr>
            <w:r w:rsidRPr="00BA02FE">
              <w:rPr>
                <w:rFonts w:ascii="Arial" w:hAnsi="Arial" w:cs="Arial"/>
                <w:bCs/>
                <w:sz w:val="24"/>
                <w:szCs w:val="24"/>
              </w:rPr>
              <w:t>HR related guidelines for the handling of learning and development; succession planning; performance management; recruitment and retention and talent management.</w:t>
            </w:r>
          </w:p>
          <w:p w:rsidR="002162F4" w:rsidRPr="00BA02FE" w:rsidRDefault="002162F4" w:rsidP="002162F4">
            <w:pPr>
              <w:pStyle w:val="Body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Cs/>
                <w:sz w:val="24"/>
                <w:szCs w:val="24"/>
              </w:rPr>
            </w:pPr>
            <w:r w:rsidRPr="00BA02FE">
              <w:rPr>
                <w:rFonts w:ascii="Arial" w:hAnsi="Arial" w:cs="Arial"/>
                <w:bCs/>
                <w:sz w:val="24"/>
                <w:szCs w:val="24"/>
              </w:rPr>
              <w:t xml:space="preserve">A template for a Workforce Action plan outlining all the necessary steps and activities, resources and monitoring mechanisms.  </w:t>
            </w:r>
          </w:p>
          <w:p w:rsidR="002162F4" w:rsidRPr="00BA02FE" w:rsidRDefault="002162F4" w:rsidP="002162F4">
            <w:pPr>
              <w:pStyle w:val="Body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Cs/>
                <w:sz w:val="24"/>
                <w:szCs w:val="24"/>
              </w:rPr>
            </w:pPr>
            <w:r w:rsidRPr="00BA02FE">
              <w:rPr>
                <w:rFonts w:ascii="Arial" w:hAnsi="Arial" w:cs="Arial"/>
                <w:bCs/>
                <w:sz w:val="24"/>
                <w:szCs w:val="24"/>
              </w:rPr>
              <w:t xml:space="preserve">Mechanisms and structures to be established in entities to lead and manage organizational change initiatives. </w:t>
            </w:r>
          </w:p>
          <w:p w:rsidR="002162F4" w:rsidRPr="00BA02FE" w:rsidRDefault="002162F4" w:rsidP="002162F4">
            <w:pPr>
              <w:pStyle w:val="Body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Cs/>
                <w:sz w:val="24"/>
                <w:szCs w:val="24"/>
              </w:rPr>
            </w:pPr>
            <w:r w:rsidRPr="00BA02FE">
              <w:rPr>
                <w:rFonts w:ascii="Arial" w:hAnsi="Arial" w:cs="Arial"/>
                <w:bCs/>
                <w:sz w:val="24"/>
                <w:szCs w:val="24"/>
              </w:rPr>
              <w:t xml:space="preserve">The framework for a communication plan and strategy. </w:t>
            </w:r>
          </w:p>
          <w:p w:rsidR="002162F4" w:rsidRPr="00BA02FE" w:rsidRDefault="002162F4" w:rsidP="002162F4">
            <w:pPr>
              <w:pStyle w:val="Body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bCs/>
                <w:sz w:val="24"/>
                <w:szCs w:val="24"/>
              </w:rPr>
            </w:pPr>
            <w:r w:rsidRPr="00BA02FE">
              <w:rPr>
                <w:rFonts w:ascii="Arial" w:hAnsi="Arial" w:cs="Arial"/>
                <w:bCs/>
                <w:sz w:val="24"/>
                <w:szCs w:val="24"/>
              </w:rPr>
              <w:t>Preparation of managers to manage and lead change initiatives.</w:t>
            </w:r>
          </w:p>
          <w:p w:rsidR="002162F4" w:rsidRPr="00BA02FE" w:rsidRDefault="002162F4" w:rsidP="00D85586">
            <w:pPr>
              <w:pStyle w:val="BodyA"/>
              <w:jc w:val="both"/>
              <w:rPr>
                <w:rFonts w:ascii="Arial" w:hAnsi="Arial" w:cs="Arial"/>
                <w:bCs/>
                <w:sz w:val="24"/>
                <w:szCs w:val="24"/>
              </w:rPr>
            </w:pPr>
            <w:r w:rsidRPr="00BA02FE">
              <w:rPr>
                <w:rFonts w:ascii="Arial" w:hAnsi="Arial" w:cs="Arial"/>
                <w:bCs/>
                <w:sz w:val="24"/>
                <w:szCs w:val="24"/>
              </w:rPr>
              <w:lastRenderedPageBreak/>
              <w:t xml:space="preserve">The first draft is to be completed and submitted within 20 days of the submission of the Communication strategy.   </w:t>
            </w:r>
          </w:p>
        </w:tc>
        <w:tc>
          <w:tcPr>
            <w:tcW w:w="1597" w:type="dxa"/>
            <w:shd w:val="clear" w:color="auto" w:fill="auto"/>
          </w:tcPr>
          <w:p w:rsidR="002162F4" w:rsidRPr="00BA02FE" w:rsidRDefault="002162F4" w:rsidP="00D85586">
            <w:pPr>
              <w:rPr>
                <w:rFonts w:ascii="Calibri" w:eastAsia="Calibri" w:hAnsi="Calibri"/>
                <w:sz w:val="22"/>
                <w:szCs w:val="22"/>
              </w:rPr>
            </w:pPr>
          </w:p>
        </w:tc>
      </w:tr>
      <w:tr w:rsidR="002162F4" w:rsidTr="00D85586">
        <w:tc>
          <w:tcPr>
            <w:tcW w:w="4132" w:type="dxa"/>
            <w:shd w:val="clear" w:color="auto" w:fill="auto"/>
          </w:tcPr>
          <w:p w:rsidR="002162F4" w:rsidRPr="00BA02FE" w:rsidRDefault="002162F4" w:rsidP="002162F4">
            <w:pPr>
              <w:pStyle w:val="ListParagraph"/>
              <w:numPr>
                <w:ilvl w:val="0"/>
                <w:numId w:val="6"/>
              </w:numPr>
              <w:spacing w:before="100" w:beforeAutospacing="1" w:after="100" w:afterAutospacing="1" w:line="252" w:lineRule="auto"/>
              <w:jc w:val="both"/>
              <w:rPr>
                <w:rFonts w:ascii="Arial" w:eastAsia="Times New Roman" w:hAnsi="Arial" w:cs="Arial"/>
                <w:bCs/>
                <w:color w:val="000000"/>
                <w:sz w:val="24"/>
                <w:szCs w:val="24"/>
              </w:rPr>
            </w:pPr>
            <w:r w:rsidRPr="00BA02FE">
              <w:rPr>
                <w:rFonts w:ascii="Arial" w:eastAsia="Times New Roman" w:hAnsi="Arial" w:cs="Arial"/>
                <w:bCs/>
                <w:color w:val="000000"/>
              </w:rPr>
              <w:t>Final version of Work Force Strategy and Action Plan incorporating amendments indicated and agreed based on the first draft.</w:t>
            </w:r>
          </w:p>
        </w:tc>
        <w:tc>
          <w:tcPr>
            <w:tcW w:w="4981" w:type="dxa"/>
            <w:shd w:val="clear" w:color="auto" w:fill="auto"/>
          </w:tcPr>
          <w:p w:rsidR="002162F4" w:rsidRPr="00BA02FE" w:rsidRDefault="002162F4" w:rsidP="00D85586">
            <w:pPr>
              <w:pStyle w:val="BodyA"/>
              <w:jc w:val="both"/>
              <w:rPr>
                <w:rFonts w:ascii="Arial" w:hAnsi="Arial" w:cs="Arial"/>
                <w:bCs/>
                <w:sz w:val="24"/>
                <w:szCs w:val="24"/>
              </w:rPr>
            </w:pPr>
            <w:r w:rsidRPr="00BA02FE">
              <w:rPr>
                <w:rFonts w:ascii="Arial" w:hAnsi="Arial" w:cs="Arial"/>
                <w:bCs/>
                <w:sz w:val="24"/>
                <w:szCs w:val="24"/>
              </w:rPr>
              <w:t>A comprehensive GoM Workforce Strategy and Action Plan completed and submitted within 30 days of the submission of the First draft of the Work Force Strategy and Action Plan.</w:t>
            </w:r>
          </w:p>
        </w:tc>
        <w:tc>
          <w:tcPr>
            <w:tcW w:w="1597" w:type="dxa"/>
            <w:shd w:val="clear" w:color="auto" w:fill="auto"/>
          </w:tcPr>
          <w:p w:rsidR="002162F4" w:rsidRPr="00BA02FE" w:rsidRDefault="002162F4" w:rsidP="00D85586">
            <w:pPr>
              <w:rPr>
                <w:rFonts w:ascii="Calibri" w:eastAsia="Calibri" w:hAnsi="Calibri"/>
                <w:sz w:val="22"/>
                <w:szCs w:val="22"/>
              </w:rPr>
            </w:pPr>
          </w:p>
        </w:tc>
      </w:tr>
    </w:tbl>
    <w:p w:rsidR="002162F4" w:rsidRDefault="002162F4" w:rsidP="002162F4">
      <w:pPr>
        <w:ind w:right="-18"/>
        <w:jc w:val="both"/>
        <w:rPr>
          <w:rFonts w:ascii="Arial" w:hAnsi="Arial" w:cs="Arial"/>
          <w:b/>
        </w:rPr>
      </w:pPr>
    </w:p>
    <w:p w:rsidR="002162F4" w:rsidRDefault="002162F4" w:rsidP="002162F4">
      <w:pPr>
        <w:rPr>
          <w:rFonts w:ascii="Arial" w:hAnsi="Arial" w:cs="Arial"/>
          <w:b/>
          <w:sz w:val="28"/>
          <w:szCs w:val="28"/>
          <w:u w:val="single"/>
        </w:rPr>
      </w:pPr>
    </w:p>
    <w:p w:rsidR="002162F4" w:rsidRDefault="002162F4" w:rsidP="002162F4">
      <w:pPr>
        <w:rPr>
          <w:rFonts w:ascii="Arial" w:hAnsi="Arial" w:cs="Arial"/>
          <w:b/>
          <w:sz w:val="28"/>
          <w:szCs w:val="28"/>
          <w:u w:val="single"/>
        </w:rPr>
      </w:pPr>
    </w:p>
    <w:p w:rsidR="002162F4" w:rsidRPr="00663158" w:rsidRDefault="002162F4" w:rsidP="002162F4">
      <w:pPr>
        <w:rPr>
          <w:rFonts w:ascii="Arial" w:hAnsi="Arial" w:cs="Arial"/>
          <w:b/>
          <w:sz w:val="28"/>
          <w:szCs w:val="28"/>
          <w:u w:val="single"/>
        </w:rPr>
      </w:pPr>
      <w:r>
        <w:rPr>
          <w:rFonts w:ascii="Arial" w:hAnsi="Arial" w:cs="Arial"/>
          <w:b/>
          <w:sz w:val="28"/>
          <w:szCs w:val="28"/>
          <w:u w:val="single"/>
        </w:rPr>
        <w:br w:type="page"/>
      </w:r>
      <w:r w:rsidRPr="00663158">
        <w:rPr>
          <w:rFonts w:ascii="Arial" w:hAnsi="Arial" w:cs="Arial"/>
          <w:b/>
          <w:sz w:val="28"/>
          <w:szCs w:val="28"/>
          <w:u w:val="single"/>
        </w:rPr>
        <w:lastRenderedPageBreak/>
        <w:t xml:space="preserve">Schedule B Cost Proposal </w:t>
      </w:r>
    </w:p>
    <w:p w:rsidR="002162F4" w:rsidRPr="00B804B6" w:rsidRDefault="002162F4" w:rsidP="002162F4">
      <w:pPr>
        <w:rPr>
          <w:rFonts w:ascii="Arial" w:hAnsi="Arial" w:cs="Arial"/>
        </w:rPr>
      </w:pPr>
    </w:p>
    <w:p w:rsidR="002162F4" w:rsidRPr="00B804B6" w:rsidRDefault="002162F4" w:rsidP="002162F4">
      <w:pPr>
        <w:ind w:right="-18"/>
        <w:jc w:val="both"/>
        <w:rPr>
          <w:rFonts w:ascii="Arial" w:hAnsi="Arial" w:cs="Arial"/>
          <w:b/>
          <w:u w:val="single"/>
        </w:rPr>
      </w:pPr>
      <w:r w:rsidRPr="00B804B6">
        <w:rPr>
          <w:rFonts w:ascii="Arial" w:hAnsi="Arial" w:cs="Arial"/>
          <w:b/>
        </w:rPr>
        <w:t>Please complete fully and return with Tender submission</w:t>
      </w:r>
      <w:r w:rsidRPr="00B804B6">
        <w:rPr>
          <w:rFonts w:ascii="Arial" w:hAnsi="Arial" w:cs="Arial"/>
          <w:b/>
          <w:u w:val="single"/>
        </w:rPr>
        <w:t xml:space="preserve"> </w:t>
      </w:r>
    </w:p>
    <w:p w:rsidR="002162F4" w:rsidRPr="00B804B6" w:rsidRDefault="002162F4" w:rsidP="002162F4">
      <w:pPr>
        <w:ind w:right="-18"/>
        <w:jc w:val="both"/>
        <w:rPr>
          <w:rFonts w:ascii="Arial" w:hAnsi="Arial" w:cs="Arial"/>
          <w:b/>
        </w:rPr>
      </w:pPr>
      <w:r w:rsidRPr="00B804B6">
        <w:rPr>
          <w:rFonts w:ascii="Arial" w:hAnsi="Arial" w:cs="Arial"/>
          <w:b/>
          <w:u w:val="single"/>
        </w:rPr>
        <w:t>Failure to provide the information in your tender submission may lead to you</w:t>
      </w:r>
      <w:r>
        <w:rPr>
          <w:rFonts w:ascii="Arial" w:hAnsi="Arial" w:cs="Arial"/>
          <w:b/>
          <w:u w:val="single"/>
        </w:rPr>
        <w:t>r</w:t>
      </w:r>
      <w:r w:rsidRPr="00B804B6">
        <w:rPr>
          <w:rFonts w:ascii="Arial" w:hAnsi="Arial" w:cs="Arial"/>
          <w:b/>
          <w:u w:val="single"/>
        </w:rPr>
        <w:t xml:space="preserve"> </w:t>
      </w:r>
    </w:p>
    <w:p w:rsidR="002162F4" w:rsidRPr="00B804B6" w:rsidRDefault="002162F4" w:rsidP="002162F4">
      <w:pPr>
        <w:widowControl w:val="0"/>
        <w:autoSpaceDE w:val="0"/>
        <w:autoSpaceDN w:val="0"/>
        <w:adjustRightInd w:val="0"/>
        <w:ind w:left="720" w:right="-18" w:hanging="720"/>
        <w:jc w:val="both"/>
        <w:rPr>
          <w:rFonts w:ascii="Arial" w:hAnsi="Arial" w:cs="Arial"/>
          <w:b/>
          <w:u w:val="single"/>
        </w:rPr>
      </w:pPr>
      <w:r w:rsidRPr="00B804B6">
        <w:rPr>
          <w:rFonts w:ascii="Arial" w:hAnsi="Arial" w:cs="Arial"/>
          <w:b/>
          <w:u w:val="single"/>
        </w:rPr>
        <w:t>tender being disqualified.</w:t>
      </w:r>
    </w:p>
    <w:p w:rsidR="002162F4" w:rsidRDefault="002162F4" w:rsidP="002162F4">
      <w:pPr>
        <w:spacing w:after="150" w:line="330" w:lineRule="atLeast"/>
        <w:jc w:val="both"/>
        <w:rPr>
          <w:rFonts w:ascii="Arial" w:hAnsi="Arial" w:cs="Arial"/>
          <w:bCs/>
          <w:color w:val="000000"/>
        </w:rPr>
      </w:pPr>
    </w:p>
    <w:p w:rsidR="002162F4" w:rsidRPr="002A4454" w:rsidRDefault="002162F4" w:rsidP="002162F4">
      <w:pPr>
        <w:spacing w:after="150" w:line="330" w:lineRule="atLeast"/>
        <w:jc w:val="both"/>
        <w:rPr>
          <w:rFonts w:ascii="Arial" w:hAnsi="Arial" w:cs="Arial"/>
          <w:bCs/>
          <w:color w:val="000000"/>
        </w:rPr>
      </w:pPr>
      <w:r w:rsidRPr="002A4454">
        <w:rPr>
          <w:rFonts w:ascii="Arial" w:hAnsi="Arial" w:cs="Arial"/>
          <w:bCs/>
          <w:color w:val="000000"/>
        </w:rPr>
        <w:t xml:space="preserve">The Workforce Strategy and Plan Technical Consultant is required to complete the project within four (4) months and the total project costs must not exceed EC$122,260.00 </w:t>
      </w:r>
    </w:p>
    <w:p w:rsidR="002162F4" w:rsidRPr="002A4454" w:rsidRDefault="002162F4" w:rsidP="002162F4">
      <w:pPr>
        <w:ind w:right="-18"/>
        <w:jc w:val="both"/>
        <w:rPr>
          <w:rFonts w:ascii="Arial" w:hAnsi="Arial" w:cs="Arial"/>
          <w:b/>
          <w:u w:val="single"/>
        </w:rPr>
      </w:pPr>
    </w:p>
    <w:p w:rsidR="002162F4" w:rsidRPr="001E6C58" w:rsidRDefault="002162F4" w:rsidP="002162F4">
      <w:pPr>
        <w:autoSpaceDE w:val="0"/>
        <w:autoSpaceDN w:val="0"/>
        <w:spacing w:after="100" w:afterAutospacing="1"/>
        <w:contextualSpacing/>
        <w:jc w:val="both"/>
        <w:rPr>
          <w:rFonts w:ascii="Arial" w:hAnsi="Arial" w:cs="Arial"/>
          <w:b/>
          <w:color w:val="000000"/>
          <w:u w:val="single"/>
        </w:rPr>
      </w:pPr>
      <w:r w:rsidRPr="002A4454">
        <w:rPr>
          <w:rFonts w:ascii="Arial" w:hAnsi="Arial" w:cs="Arial"/>
          <w:b/>
          <w:color w:val="000000"/>
          <w:u w:val="single"/>
        </w:rPr>
        <w:t>TAX</w:t>
      </w:r>
    </w:p>
    <w:p w:rsidR="002162F4" w:rsidRPr="00AC0D4F" w:rsidRDefault="002162F4" w:rsidP="002162F4">
      <w:pPr>
        <w:rPr>
          <w:rFonts w:ascii="Arial" w:hAnsi="Arial" w:cs="Arial"/>
          <w:color w:val="1F497D"/>
          <w:lang w:val="en-GB"/>
        </w:rPr>
      </w:pPr>
      <w:r w:rsidRPr="00AC0D4F">
        <w:rPr>
          <w:rFonts w:ascii="Arial" w:hAnsi="Arial" w:cs="Arial"/>
        </w:rPr>
        <w:t>Except in cases where there is an exemption from tax, of which proof must be provided; residents of Montserrat for tax purposes are subject to tax on the profits from this project while non-resi</w:t>
      </w:r>
      <w:r>
        <w:rPr>
          <w:rFonts w:ascii="Arial" w:hAnsi="Arial" w:cs="Arial"/>
        </w:rPr>
        <w:t>dents are liable to a 20% withholding</w:t>
      </w:r>
      <w:r w:rsidRPr="00AC0D4F">
        <w:rPr>
          <w:rFonts w:ascii="Arial" w:hAnsi="Arial" w:cs="Arial"/>
        </w:rPr>
        <w:t xml:space="preserve"> Tax deduction from the gross amount.</w:t>
      </w:r>
    </w:p>
    <w:p w:rsidR="002162F4" w:rsidRPr="00AC0D4F" w:rsidRDefault="002162F4" w:rsidP="002162F4">
      <w:pPr>
        <w:rPr>
          <w:rFonts w:ascii="Arial" w:hAnsi="Arial" w:cs="Arial"/>
          <w:color w:val="1F497D"/>
          <w:lang w:val="en-GB"/>
        </w:rPr>
      </w:pPr>
    </w:p>
    <w:p w:rsidR="002162F4" w:rsidRDefault="002162F4" w:rsidP="002162F4">
      <w:pPr>
        <w:autoSpaceDE w:val="0"/>
        <w:autoSpaceDN w:val="0"/>
        <w:spacing w:after="100" w:afterAutospacing="1"/>
        <w:contextualSpacing/>
        <w:jc w:val="both"/>
        <w:rPr>
          <w:rFonts w:ascii="Arial" w:hAnsi="Arial" w:cs="Arial"/>
          <w:color w:val="000000"/>
        </w:rPr>
      </w:pPr>
      <w:r>
        <w:rPr>
          <w:rFonts w:ascii="Arial" w:hAnsi="Arial" w:cs="Arial"/>
          <w:color w:val="000000"/>
        </w:rPr>
        <w:t xml:space="preserve">Please take into consideration your tax obligations and liabilities to the Government of Montserrat. For further information please contact Montserrat Customs &amp; Revenue Service (MCRS) via email at </w:t>
      </w:r>
      <w:hyperlink r:id="rId10" w:history="1">
        <w:r w:rsidRPr="00BA449A">
          <w:rPr>
            <w:rStyle w:val="Hyperlink"/>
            <w:rFonts w:ascii="Arial" w:hAnsi="Arial" w:cs="Arial"/>
          </w:rPr>
          <w:t>irev@gov.ms</w:t>
        </w:r>
      </w:hyperlink>
      <w:r>
        <w:rPr>
          <w:rFonts w:ascii="Arial" w:hAnsi="Arial" w:cs="Arial"/>
          <w:color w:val="000000"/>
        </w:rPr>
        <w:t xml:space="preserve">    </w:t>
      </w:r>
    </w:p>
    <w:p w:rsidR="002162F4" w:rsidRDefault="002162F4" w:rsidP="002162F4">
      <w:pPr>
        <w:ind w:right="-18"/>
        <w:jc w:val="both"/>
        <w:rPr>
          <w:rFonts w:ascii="Arial" w:hAnsi="Arial" w:cs="Arial"/>
          <w:b/>
        </w:rPr>
      </w:pPr>
    </w:p>
    <w:p w:rsidR="002162F4" w:rsidRPr="00B804B6" w:rsidRDefault="002162F4" w:rsidP="002162F4">
      <w:pPr>
        <w:ind w:right="-18"/>
        <w:jc w:val="both"/>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248"/>
        <w:gridCol w:w="1312"/>
        <w:gridCol w:w="1187"/>
        <w:gridCol w:w="1625"/>
      </w:tblGrid>
      <w:tr w:rsidR="002162F4" w:rsidRPr="00B804B6" w:rsidTr="00D85586">
        <w:tc>
          <w:tcPr>
            <w:tcW w:w="4248" w:type="dxa"/>
            <w:shd w:val="clear" w:color="auto" w:fill="auto"/>
          </w:tcPr>
          <w:p w:rsidR="002162F4" w:rsidRPr="00B804B6" w:rsidRDefault="002162F4" w:rsidP="00D85586">
            <w:pPr>
              <w:ind w:right="-18"/>
              <w:jc w:val="both"/>
              <w:rPr>
                <w:rFonts w:ascii="Arial" w:eastAsia="Calibri" w:hAnsi="Arial" w:cs="Arial"/>
                <w:b/>
              </w:rPr>
            </w:pPr>
          </w:p>
          <w:p w:rsidR="002162F4" w:rsidRPr="00B804B6" w:rsidRDefault="002162F4" w:rsidP="00D85586">
            <w:pPr>
              <w:ind w:right="-18"/>
              <w:jc w:val="both"/>
              <w:rPr>
                <w:rFonts w:ascii="Arial" w:eastAsia="Calibri" w:hAnsi="Arial" w:cs="Arial"/>
                <w:b/>
              </w:rPr>
            </w:pPr>
            <w:r w:rsidRPr="00B804B6">
              <w:rPr>
                <w:rFonts w:ascii="Arial" w:eastAsia="Calibri" w:hAnsi="Arial" w:cs="Arial"/>
                <w:b/>
              </w:rPr>
              <w:t xml:space="preserve">Key Deliverables </w:t>
            </w:r>
          </w:p>
        </w:tc>
        <w:tc>
          <w:tcPr>
            <w:tcW w:w="1350" w:type="dxa"/>
            <w:shd w:val="clear" w:color="auto" w:fill="auto"/>
          </w:tcPr>
          <w:p w:rsidR="002162F4" w:rsidRPr="00B804B6" w:rsidRDefault="002162F4" w:rsidP="00D85586">
            <w:pPr>
              <w:ind w:right="-18"/>
              <w:jc w:val="both"/>
              <w:rPr>
                <w:rFonts w:ascii="Arial" w:eastAsia="Calibri" w:hAnsi="Arial" w:cs="Arial"/>
                <w:b/>
              </w:rPr>
            </w:pPr>
          </w:p>
          <w:p w:rsidR="002162F4" w:rsidRPr="00B804B6" w:rsidRDefault="002162F4" w:rsidP="00D85586">
            <w:pPr>
              <w:ind w:right="-18"/>
              <w:jc w:val="both"/>
              <w:rPr>
                <w:rFonts w:ascii="Arial" w:eastAsia="Calibri" w:hAnsi="Arial" w:cs="Arial"/>
                <w:b/>
              </w:rPr>
            </w:pPr>
            <w:r w:rsidRPr="00B804B6">
              <w:rPr>
                <w:rFonts w:ascii="Arial" w:eastAsia="Calibri" w:hAnsi="Arial" w:cs="Arial"/>
                <w:b/>
              </w:rPr>
              <w:t xml:space="preserve">Day Rate </w:t>
            </w:r>
          </w:p>
        </w:tc>
        <w:tc>
          <w:tcPr>
            <w:tcW w:w="1350" w:type="dxa"/>
            <w:shd w:val="clear" w:color="auto" w:fill="auto"/>
          </w:tcPr>
          <w:p w:rsidR="002162F4" w:rsidRPr="00B804B6" w:rsidRDefault="002162F4" w:rsidP="00D85586">
            <w:pPr>
              <w:ind w:right="-18"/>
              <w:jc w:val="both"/>
              <w:rPr>
                <w:rFonts w:ascii="Arial" w:eastAsia="Calibri" w:hAnsi="Arial" w:cs="Arial"/>
                <w:b/>
              </w:rPr>
            </w:pPr>
          </w:p>
          <w:p w:rsidR="002162F4" w:rsidRPr="00B804B6" w:rsidRDefault="002162F4" w:rsidP="00D85586">
            <w:pPr>
              <w:ind w:right="-18"/>
              <w:jc w:val="both"/>
              <w:rPr>
                <w:rFonts w:ascii="Arial" w:eastAsia="Calibri" w:hAnsi="Arial" w:cs="Arial"/>
                <w:b/>
              </w:rPr>
            </w:pPr>
            <w:r w:rsidRPr="00B804B6">
              <w:rPr>
                <w:rFonts w:ascii="Arial" w:eastAsia="Calibri" w:hAnsi="Arial" w:cs="Arial"/>
                <w:b/>
              </w:rPr>
              <w:t>Number of days</w:t>
            </w:r>
          </w:p>
        </w:tc>
        <w:tc>
          <w:tcPr>
            <w:tcW w:w="1266" w:type="dxa"/>
            <w:shd w:val="clear" w:color="auto" w:fill="auto"/>
          </w:tcPr>
          <w:p w:rsidR="002162F4" w:rsidRPr="00B804B6" w:rsidRDefault="002162F4" w:rsidP="00D85586">
            <w:pPr>
              <w:ind w:right="-18"/>
              <w:jc w:val="both"/>
              <w:rPr>
                <w:rFonts w:ascii="Arial" w:eastAsia="Calibri" w:hAnsi="Arial" w:cs="Arial"/>
                <w:b/>
              </w:rPr>
            </w:pPr>
          </w:p>
          <w:p w:rsidR="002162F4" w:rsidRPr="00B804B6" w:rsidRDefault="002162F4" w:rsidP="00D85586">
            <w:pPr>
              <w:ind w:right="-18"/>
              <w:jc w:val="both"/>
              <w:rPr>
                <w:rFonts w:ascii="Arial" w:eastAsia="Calibri" w:hAnsi="Arial" w:cs="Arial"/>
                <w:b/>
              </w:rPr>
            </w:pPr>
            <w:r w:rsidRPr="00B804B6">
              <w:rPr>
                <w:rFonts w:ascii="Arial" w:eastAsia="Calibri" w:hAnsi="Arial" w:cs="Arial"/>
                <w:b/>
              </w:rPr>
              <w:t>Total cost</w:t>
            </w:r>
          </w:p>
        </w:tc>
        <w:tc>
          <w:tcPr>
            <w:tcW w:w="1650" w:type="dxa"/>
            <w:shd w:val="clear" w:color="auto" w:fill="auto"/>
          </w:tcPr>
          <w:p w:rsidR="002162F4" w:rsidRPr="00B804B6" w:rsidRDefault="002162F4" w:rsidP="00D85586">
            <w:pPr>
              <w:ind w:right="-18"/>
              <w:jc w:val="both"/>
              <w:rPr>
                <w:rFonts w:ascii="Arial" w:eastAsia="Calibri" w:hAnsi="Arial" w:cs="Arial"/>
                <w:b/>
              </w:rPr>
            </w:pPr>
          </w:p>
          <w:p w:rsidR="002162F4" w:rsidRPr="00B804B6" w:rsidRDefault="002162F4" w:rsidP="00D85586">
            <w:pPr>
              <w:ind w:right="-18"/>
              <w:jc w:val="both"/>
              <w:rPr>
                <w:rFonts w:ascii="Arial" w:eastAsia="Calibri" w:hAnsi="Arial" w:cs="Arial"/>
                <w:b/>
              </w:rPr>
            </w:pPr>
            <w:r w:rsidRPr="00B804B6">
              <w:rPr>
                <w:rFonts w:ascii="Arial" w:eastAsia="Calibri" w:hAnsi="Arial" w:cs="Arial"/>
                <w:b/>
              </w:rPr>
              <w:t xml:space="preserve">Elapsed time for completion </w:t>
            </w:r>
          </w:p>
        </w:tc>
      </w:tr>
      <w:tr w:rsidR="002162F4" w:rsidRPr="00B804B6" w:rsidTr="00D85586">
        <w:tc>
          <w:tcPr>
            <w:tcW w:w="4248" w:type="dxa"/>
            <w:shd w:val="clear" w:color="auto" w:fill="auto"/>
          </w:tcPr>
          <w:p w:rsidR="002162F4" w:rsidRPr="00B804B6" w:rsidRDefault="002162F4" w:rsidP="002162F4">
            <w:pPr>
              <w:pStyle w:val="ListParagraph"/>
              <w:numPr>
                <w:ilvl w:val="0"/>
                <w:numId w:val="5"/>
              </w:numPr>
              <w:spacing w:after="150" w:line="330" w:lineRule="atLeast"/>
              <w:jc w:val="both"/>
              <w:rPr>
                <w:rFonts w:ascii="Arial" w:eastAsia="Times New Roman" w:hAnsi="Arial" w:cs="Arial"/>
                <w:b/>
                <w:bCs/>
                <w:color w:val="494949"/>
                <w:sz w:val="24"/>
                <w:szCs w:val="24"/>
              </w:rPr>
            </w:pPr>
            <w:r w:rsidRPr="00B804B6">
              <w:rPr>
                <w:rFonts w:ascii="Arial" w:eastAsia="Times New Roman" w:hAnsi="Arial" w:cs="Arial"/>
                <w:color w:val="494949"/>
                <w:sz w:val="24"/>
                <w:szCs w:val="24"/>
              </w:rPr>
              <w:t xml:space="preserve">Inception Report, Work Plan and Consultation Strategy:       </w:t>
            </w:r>
          </w:p>
        </w:tc>
        <w:tc>
          <w:tcPr>
            <w:tcW w:w="1350" w:type="dxa"/>
            <w:shd w:val="clear" w:color="auto" w:fill="auto"/>
          </w:tcPr>
          <w:p w:rsidR="002162F4" w:rsidRPr="00B804B6" w:rsidRDefault="002162F4" w:rsidP="00D85586">
            <w:pPr>
              <w:ind w:right="-18"/>
              <w:jc w:val="both"/>
              <w:rPr>
                <w:rFonts w:ascii="Arial" w:eastAsia="Calibri" w:hAnsi="Arial" w:cs="Arial"/>
                <w:b/>
              </w:rPr>
            </w:pPr>
          </w:p>
        </w:tc>
        <w:tc>
          <w:tcPr>
            <w:tcW w:w="1350" w:type="dxa"/>
            <w:shd w:val="clear" w:color="auto" w:fill="auto"/>
          </w:tcPr>
          <w:p w:rsidR="002162F4" w:rsidRPr="00B804B6" w:rsidRDefault="002162F4" w:rsidP="00D85586">
            <w:pPr>
              <w:ind w:right="-18"/>
              <w:jc w:val="both"/>
              <w:rPr>
                <w:rFonts w:ascii="Arial" w:eastAsia="Calibri" w:hAnsi="Arial" w:cs="Arial"/>
                <w:b/>
              </w:rPr>
            </w:pPr>
          </w:p>
        </w:tc>
        <w:tc>
          <w:tcPr>
            <w:tcW w:w="1266" w:type="dxa"/>
            <w:shd w:val="clear" w:color="auto" w:fill="auto"/>
          </w:tcPr>
          <w:p w:rsidR="002162F4" w:rsidRPr="00B804B6" w:rsidRDefault="002162F4" w:rsidP="00D85586">
            <w:pPr>
              <w:ind w:right="-18"/>
              <w:jc w:val="both"/>
              <w:rPr>
                <w:rFonts w:ascii="Arial" w:eastAsia="Calibri" w:hAnsi="Arial" w:cs="Arial"/>
                <w:b/>
              </w:rPr>
            </w:pPr>
          </w:p>
        </w:tc>
        <w:tc>
          <w:tcPr>
            <w:tcW w:w="1650" w:type="dxa"/>
            <w:shd w:val="clear" w:color="auto" w:fill="auto"/>
          </w:tcPr>
          <w:p w:rsidR="002162F4" w:rsidRPr="00B804B6" w:rsidRDefault="002162F4" w:rsidP="00D85586">
            <w:pPr>
              <w:ind w:right="-18"/>
              <w:jc w:val="both"/>
              <w:rPr>
                <w:rFonts w:ascii="Arial" w:eastAsia="Calibri" w:hAnsi="Arial" w:cs="Arial"/>
                <w:b/>
              </w:rPr>
            </w:pPr>
          </w:p>
        </w:tc>
      </w:tr>
      <w:tr w:rsidR="002162F4" w:rsidRPr="00B804B6" w:rsidTr="00D85586">
        <w:tc>
          <w:tcPr>
            <w:tcW w:w="4248" w:type="dxa"/>
            <w:shd w:val="clear" w:color="auto" w:fill="auto"/>
          </w:tcPr>
          <w:p w:rsidR="002162F4" w:rsidRPr="00B804B6" w:rsidRDefault="002162F4" w:rsidP="002162F4">
            <w:pPr>
              <w:pStyle w:val="ListParagraph"/>
              <w:numPr>
                <w:ilvl w:val="0"/>
                <w:numId w:val="5"/>
              </w:numPr>
              <w:spacing w:after="150" w:line="330" w:lineRule="atLeast"/>
              <w:jc w:val="both"/>
              <w:rPr>
                <w:rFonts w:ascii="Arial" w:eastAsia="Times New Roman" w:hAnsi="Arial" w:cs="Arial"/>
                <w:bCs/>
                <w:color w:val="000000"/>
                <w:sz w:val="24"/>
                <w:szCs w:val="24"/>
              </w:rPr>
            </w:pPr>
            <w:r w:rsidRPr="00B804B6">
              <w:rPr>
                <w:rFonts w:ascii="Arial" w:eastAsia="Times New Roman" w:hAnsi="Arial" w:cs="Arial"/>
                <w:color w:val="000000"/>
                <w:sz w:val="24"/>
                <w:szCs w:val="24"/>
              </w:rPr>
              <w:t>Report on desk review of documents and information related to previous work force initiatives in the Montserrat public sector, and feedback and assessment from stakeho</w:t>
            </w:r>
            <w:r>
              <w:rPr>
                <w:rFonts w:ascii="Arial" w:eastAsia="Times New Roman" w:hAnsi="Arial" w:cs="Arial"/>
                <w:color w:val="000000"/>
                <w:sz w:val="24"/>
                <w:szCs w:val="24"/>
              </w:rPr>
              <w:t xml:space="preserve">lders        </w:t>
            </w:r>
            <w:r w:rsidRPr="00B804B6">
              <w:rPr>
                <w:rFonts w:ascii="Arial" w:eastAsia="Times New Roman" w:hAnsi="Arial" w:cs="Arial"/>
                <w:color w:val="000000"/>
                <w:sz w:val="24"/>
                <w:szCs w:val="24"/>
              </w:rPr>
              <w:t>consultations conducted previously.</w:t>
            </w:r>
          </w:p>
        </w:tc>
        <w:tc>
          <w:tcPr>
            <w:tcW w:w="1350" w:type="dxa"/>
            <w:shd w:val="clear" w:color="auto" w:fill="auto"/>
          </w:tcPr>
          <w:p w:rsidR="002162F4" w:rsidRPr="00B804B6" w:rsidRDefault="002162F4" w:rsidP="00D85586">
            <w:pPr>
              <w:ind w:right="-18"/>
              <w:jc w:val="both"/>
              <w:rPr>
                <w:rFonts w:ascii="Arial" w:eastAsia="Calibri" w:hAnsi="Arial" w:cs="Arial"/>
                <w:b/>
              </w:rPr>
            </w:pPr>
          </w:p>
        </w:tc>
        <w:tc>
          <w:tcPr>
            <w:tcW w:w="1350" w:type="dxa"/>
            <w:shd w:val="clear" w:color="auto" w:fill="auto"/>
          </w:tcPr>
          <w:p w:rsidR="002162F4" w:rsidRPr="00B804B6" w:rsidRDefault="002162F4" w:rsidP="00D85586">
            <w:pPr>
              <w:ind w:right="-18"/>
              <w:jc w:val="both"/>
              <w:rPr>
                <w:rFonts w:ascii="Arial" w:eastAsia="Calibri" w:hAnsi="Arial" w:cs="Arial"/>
                <w:b/>
              </w:rPr>
            </w:pPr>
          </w:p>
        </w:tc>
        <w:tc>
          <w:tcPr>
            <w:tcW w:w="1266" w:type="dxa"/>
            <w:shd w:val="clear" w:color="auto" w:fill="auto"/>
          </w:tcPr>
          <w:p w:rsidR="002162F4" w:rsidRPr="00B804B6" w:rsidRDefault="002162F4" w:rsidP="00D85586">
            <w:pPr>
              <w:ind w:right="-18"/>
              <w:jc w:val="both"/>
              <w:rPr>
                <w:rFonts w:ascii="Arial" w:eastAsia="Calibri" w:hAnsi="Arial" w:cs="Arial"/>
                <w:b/>
              </w:rPr>
            </w:pPr>
          </w:p>
        </w:tc>
        <w:tc>
          <w:tcPr>
            <w:tcW w:w="1650" w:type="dxa"/>
            <w:shd w:val="clear" w:color="auto" w:fill="auto"/>
          </w:tcPr>
          <w:p w:rsidR="002162F4" w:rsidRPr="00B804B6" w:rsidRDefault="002162F4" w:rsidP="00D85586">
            <w:pPr>
              <w:ind w:right="-18"/>
              <w:jc w:val="both"/>
              <w:rPr>
                <w:rFonts w:ascii="Arial" w:eastAsia="Calibri" w:hAnsi="Arial" w:cs="Arial"/>
                <w:b/>
              </w:rPr>
            </w:pPr>
          </w:p>
        </w:tc>
      </w:tr>
      <w:tr w:rsidR="002162F4" w:rsidRPr="00B804B6" w:rsidTr="00D85586">
        <w:tc>
          <w:tcPr>
            <w:tcW w:w="4248" w:type="dxa"/>
            <w:shd w:val="clear" w:color="auto" w:fill="auto"/>
          </w:tcPr>
          <w:p w:rsidR="002162F4" w:rsidRPr="00B804B6" w:rsidRDefault="002162F4" w:rsidP="002162F4">
            <w:pPr>
              <w:pStyle w:val="ListParagraph"/>
              <w:numPr>
                <w:ilvl w:val="0"/>
                <w:numId w:val="5"/>
              </w:numPr>
              <w:spacing w:after="150" w:line="330" w:lineRule="atLeast"/>
              <w:jc w:val="both"/>
              <w:rPr>
                <w:rFonts w:ascii="Arial" w:eastAsia="Times New Roman" w:hAnsi="Arial" w:cs="Arial"/>
                <w:bCs/>
                <w:color w:val="000000"/>
                <w:sz w:val="24"/>
                <w:szCs w:val="24"/>
              </w:rPr>
            </w:pPr>
            <w:r w:rsidRPr="00B804B6">
              <w:rPr>
                <w:rFonts w:ascii="Arial" w:eastAsia="Times New Roman" w:hAnsi="Arial" w:cs="Arial"/>
                <w:color w:val="000000"/>
                <w:sz w:val="24"/>
                <w:szCs w:val="24"/>
              </w:rPr>
              <w:t>A communication strategy which addresses approaches to communication, consultation and negotiation and engagement with all stakeh</w:t>
            </w:r>
            <w:r>
              <w:rPr>
                <w:rFonts w:ascii="Arial" w:eastAsia="Times New Roman" w:hAnsi="Arial" w:cs="Arial"/>
                <w:color w:val="000000"/>
                <w:sz w:val="24"/>
                <w:szCs w:val="24"/>
              </w:rPr>
              <w:t xml:space="preserve">olders         </w:t>
            </w:r>
          </w:p>
        </w:tc>
        <w:tc>
          <w:tcPr>
            <w:tcW w:w="1350" w:type="dxa"/>
            <w:shd w:val="clear" w:color="auto" w:fill="auto"/>
          </w:tcPr>
          <w:p w:rsidR="002162F4" w:rsidRPr="00B804B6" w:rsidRDefault="002162F4" w:rsidP="00D85586">
            <w:pPr>
              <w:ind w:right="-18"/>
              <w:jc w:val="both"/>
              <w:rPr>
                <w:rFonts w:ascii="Arial" w:eastAsia="Calibri" w:hAnsi="Arial" w:cs="Arial"/>
                <w:b/>
              </w:rPr>
            </w:pPr>
          </w:p>
        </w:tc>
        <w:tc>
          <w:tcPr>
            <w:tcW w:w="1350" w:type="dxa"/>
            <w:shd w:val="clear" w:color="auto" w:fill="auto"/>
          </w:tcPr>
          <w:p w:rsidR="002162F4" w:rsidRPr="00B804B6" w:rsidRDefault="002162F4" w:rsidP="00D85586">
            <w:pPr>
              <w:ind w:right="-18"/>
              <w:jc w:val="both"/>
              <w:rPr>
                <w:rFonts w:ascii="Arial" w:eastAsia="Calibri" w:hAnsi="Arial" w:cs="Arial"/>
                <w:b/>
              </w:rPr>
            </w:pPr>
          </w:p>
        </w:tc>
        <w:tc>
          <w:tcPr>
            <w:tcW w:w="1266" w:type="dxa"/>
            <w:shd w:val="clear" w:color="auto" w:fill="auto"/>
          </w:tcPr>
          <w:p w:rsidR="002162F4" w:rsidRPr="00B804B6" w:rsidRDefault="002162F4" w:rsidP="00D85586">
            <w:pPr>
              <w:ind w:right="-18"/>
              <w:jc w:val="both"/>
              <w:rPr>
                <w:rFonts w:ascii="Arial" w:eastAsia="Calibri" w:hAnsi="Arial" w:cs="Arial"/>
                <w:b/>
              </w:rPr>
            </w:pPr>
          </w:p>
        </w:tc>
        <w:tc>
          <w:tcPr>
            <w:tcW w:w="1650" w:type="dxa"/>
            <w:shd w:val="clear" w:color="auto" w:fill="auto"/>
          </w:tcPr>
          <w:p w:rsidR="002162F4" w:rsidRPr="00B804B6" w:rsidRDefault="002162F4" w:rsidP="00D85586">
            <w:pPr>
              <w:ind w:right="-18"/>
              <w:jc w:val="both"/>
              <w:rPr>
                <w:rFonts w:ascii="Arial" w:eastAsia="Calibri" w:hAnsi="Arial" w:cs="Arial"/>
                <w:b/>
              </w:rPr>
            </w:pPr>
          </w:p>
        </w:tc>
      </w:tr>
      <w:tr w:rsidR="002162F4" w:rsidRPr="00B804B6" w:rsidTr="00D85586">
        <w:tc>
          <w:tcPr>
            <w:tcW w:w="4248" w:type="dxa"/>
            <w:shd w:val="clear" w:color="auto" w:fill="auto"/>
          </w:tcPr>
          <w:p w:rsidR="002162F4" w:rsidRPr="00B804B6" w:rsidRDefault="002162F4" w:rsidP="002162F4">
            <w:pPr>
              <w:pStyle w:val="ListParagraph"/>
              <w:numPr>
                <w:ilvl w:val="0"/>
                <w:numId w:val="5"/>
              </w:numPr>
              <w:spacing w:after="150" w:line="330" w:lineRule="atLeast"/>
              <w:jc w:val="both"/>
              <w:rPr>
                <w:rFonts w:ascii="Arial" w:eastAsia="Times New Roman" w:hAnsi="Arial" w:cs="Arial"/>
                <w:bCs/>
                <w:color w:val="000000"/>
                <w:sz w:val="24"/>
                <w:szCs w:val="24"/>
              </w:rPr>
            </w:pPr>
            <w:r w:rsidRPr="00B804B6">
              <w:rPr>
                <w:rFonts w:ascii="Arial" w:eastAsia="Times New Roman" w:hAnsi="Arial" w:cs="Arial"/>
                <w:color w:val="000000"/>
                <w:sz w:val="24"/>
                <w:szCs w:val="24"/>
              </w:rPr>
              <w:t>First Draft of Workforce Strategy and Action Plan.</w:t>
            </w:r>
          </w:p>
        </w:tc>
        <w:tc>
          <w:tcPr>
            <w:tcW w:w="1350" w:type="dxa"/>
            <w:shd w:val="clear" w:color="auto" w:fill="auto"/>
          </w:tcPr>
          <w:p w:rsidR="002162F4" w:rsidRPr="00B804B6" w:rsidRDefault="002162F4" w:rsidP="00D85586">
            <w:pPr>
              <w:ind w:right="-18"/>
              <w:jc w:val="both"/>
              <w:rPr>
                <w:rFonts w:ascii="Arial" w:eastAsia="Calibri" w:hAnsi="Arial" w:cs="Arial"/>
                <w:b/>
              </w:rPr>
            </w:pPr>
          </w:p>
        </w:tc>
        <w:tc>
          <w:tcPr>
            <w:tcW w:w="1350" w:type="dxa"/>
            <w:shd w:val="clear" w:color="auto" w:fill="auto"/>
          </w:tcPr>
          <w:p w:rsidR="002162F4" w:rsidRPr="00B804B6" w:rsidRDefault="002162F4" w:rsidP="00D85586">
            <w:pPr>
              <w:ind w:right="-18"/>
              <w:jc w:val="both"/>
              <w:rPr>
                <w:rFonts w:ascii="Arial" w:eastAsia="Calibri" w:hAnsi="Arial" w:cs="Arial"/>
                <w:b/>
              </w:rPr>
            </w:pPr>
          </w:p>
        </w:tc>
        <w:tc>
          <w:tcPr>
            <w:tcW w:w="1266" w:type="dxa"/>
            <w:shd w:val="clear" w:color="auto" w:fill="auto"/>
          </w:tcPr>
          <w:p w:rsidR="002162F4" w:rsidRPr="00B804B6" w:rsidRDefault="002162F4" w:rsidP="00D85586">
            <w:pPr>
              <w:ind w:right="-18"/>
              <w:jc w:val="both"/>
              <w:rPr>
                <w:rFonts w:ascii="Arial" w:eastAsia="Calibri" w:hAnsi="Arial" w:cs="Arial"/>
                <w:b/>
              </w:rPr>
            </w:pPr>
          </w:p>
        </w:tc>
        <w:tc>
          <w:tcPr>
            <w:tcW w:w="1650" w:type="dxa"/>
            <w:shd w:val="clear" w:color="auto" w:fill="auto"/>
          </w:tcPr>
          <w:p w:rsidR="002162F4" w:rsidRPr="00B804B6" w:rsidRDefault="002162F4" w:rsidP="00D85586">
            <w:pPr>
              <w:ind w:right="-18"/>
              <w:jc w:val="both"/>
              <w:rPr>
                <w:rFonts w:ascii="Arial" w:eastAsia="Calibri" w:hAnsi="Arial" w:cs="Arial"/>
                <w:b/>
              </w:rPr>
            </w:pPr>
          </w:p>
        </w:tc>
      </w:tr>
      <w:tr w:rsidR="002162F4" w:rsidRPr="00B804B6" w:rsidTr="00D85586">
        <w:tc>
          <w:tcPr>
            <w:tcW w:w="4248" w:type="dxa"/>
            <w:shd w:val="clear" w:color="auto" w:fill="auto"/>
          </w:tcPr>
          <w:p w:rsidR="002162F4" w:rsidRPr="00B804B6" w:rsidRDefault="002162F4" w:rsidP="002162F4">
            <w:pPr>
              <w:pStyle w:val="ListParagraph"/>
              <w:numPr>
                <w:ilvl w:val="0"/>
                <w:numId w:val="5"/>
              </w:numPr>
              <w:spacing w:after="150" w:line="330" w:lineRule="atLeast"/>
              <w:jc w:val="both"/>
              <w:rPr>
                <w:rFonts w:ascii="Arial" w:eastAsia="Times New Roman" w:hAnsi="Arial" w:cs="Arial"/>
                <w:bCs/>
                <w:color w:val="000000"/>
                <w:sz w:val="24"/>
                <w:szCs w:val="24"/>
              </w:rPr>
            </w:pPr>
            <w:r w:rsidRPr="00B804B6">
              <w:rPr>
                <w:rFonts w:ascii="Arial" w:eastAsia="Times New Roman" w:hAnsi="Arial" w:cs="Arial"/>
                <w:color w:val="000000"/>
                <w:sz w:val="24"/>
                <w:szCs w:val="24"/>
              </w:rPr>
              <w:t>Final version of Work Force Strategy and Action Plan incorporating amendments indicated and agreed based on the first draft.</w:t>
            </w:r>
          </w:p>
        </w:tc>
        <w:tc>
          <w:tcPr>
            <w:tcW w:w="1350" w:type="dxa"/>
            <w:shd w:val="clear" w:color="auto" w:fill="auto"/>
          </w:tcPr>
          <w:p w:rsidR="002162F4" w:rsidRPr="00B804B6" w:rsidRDefault="002162F4" w:rsidP="00D85586">
            <w:pPr>
              <w:ind w:right="-18"/>
              <w:jc w:val="both"/>
              <w:rPr>
                <w:rFonts w:ascii="Arial" w:eastAsia="Calibri" w:hAnsi="Arial" w:cs="Arial"/>
                <w:b/>
              </w:rPr>
            </w:pPr>
          </w:p>
        </w:tc>
        <w:tc>
          <w:tcPr>
            <w:tcW w:w="1350" w:type="dxa"/>
            <w:shd w:val="clear" w:color="auto" w:fill="auto"/>
          </w:tcPr>
          <w:p w:rsidR="002162F4" w:rsidRPr="00B804B6" w:rsidRDefault="002162F4" w:rsidP="00D85586">
            <w:pPr>
              <w:ind w:right="-18"/>
              <w:jc w:val="both"/>
              <w:rPr>
                <w:rFonts w:ascii="Arial" w:eastAsia="Calibri" w:hAnsi="Arial" w:cs="Arial"/>
                <w:b/>
              </w:rPr>
            </w:pPr>
          </w:p>
        </w:tc>
        <w:tc>
          <w:tcPr>
            <w:tcW w:w="1266" w:type="dxa"/>
            <w:shd w:val="clear" w:color="auto" w:fill="auto"/>
          </w:tcPr>
          <w:p w:rsidR="002162F4" w:rsidRPr="00B804B6" w:rsidRDefault="002162F4" w:rsidP="00D85586">
            <w:pPr>
              <w:ind w:right="-18"/>
              <w:jc w:val="both"/>
              <w:rPr>
                <w:rFonts w:ascii="Arial" w:eastAsia="Calibri" w:hAnsi="Arial" w:cs="Arial"/>
                <w:b/>
              </w:rPr>
            </w:pPr>
          </w:p>
        </w:tc>
        <w:tc>
          <w:tcPr>
            <w:tcW w:w="1650" w:type="dxa"/>
            <w:shd w:val="clear" w:color="auto" w:fill="auto"/>
          </w:tcPr>
          <w:p w:rsidR="002162F4" w:rsidRPr="00B804B6" w:rsidRDefault="002162F4" w:rsidP="00D85586">
            <w:pPr>
              <w:ind w:right="-18"/>
              <w:jc w:val="both"/>
              <w:rPr>
                <w:rFonts w:ascii="Arial" w:eastAsia="Calibri" w:hAnsi="Arial" w:cs="Arial"/>
                <w:b/>
              </w:rPr>
            </w:pPr>
          </w:p>
        </w:tc>
      </w:tr>
      <w:tr w:rsidR="002162F4" w:rsidRPr="00B804B6" w:rsidTr="00D85586">
        <w:tc>
          <w:tcPr>
            <w:tcW w:w="4248" w:type="dxa"/>
            <w:shd w:val="clear" w:color="auto" w:fill="auto"/>
          </w:tcPr>
          <w:p w:rsidR="002162F4" w:rsidRPr="00B804B6" w:rsidRDefault="002162F4" w:rsidP="002162F4">
            <w:pPr>
              <w:pStyle w:val="ListParagraph"/>
              <w:numPr>
                <w:ilvl w:val="0"/>
                <w:numId w:val="5"/>
              </w:numPr>
              <w:spacing w:after="150" w:line="330" w:lineRule="atLeast"/>
              <w:jc w:val="both"/>
              <w:rPr>
                <w:rFonts w:ascii="Arial" w:eastAsia="Times New Roman" w:hAnsi="Arial" w:cs="Arial"/>
                <w:bCs/>
                <w:color w:val="000000"/>
                <w:sz w:val="24"/>
                <w:szCs w:val="24"/>
              </w:rPr>
            </w:pPr>
            <w:r w:rsidRPr="00B804B6">
              <w:rPr>
                <w:rFonts w:ascii="Arial" w:eastAsia="Times New Roman" w:hAnsi="Arial" w:cs="Arial"/>
                <w:color w:val="000000"/>
                <w:sz w:val="24"/>
                <w:szCs w:val="24"/>
              </w:rPr>
              <w:t xml:space="preserve">An up to date HRIS System and Terms Of Reference/Job Descriptions which targets and clearly aligns to Organization’s goals. </w:t>
            </w:r>
          </w:p>
        </w:tc>
        <w:tc>
          <w:tcPr>
            <w:tcW w:w="1350" w:type="dxa"/>
            <w:shd w:val="clear" w:color="auto" w:fill="auto"/>
          </w:tcPr>
          <w:p w:rsidR="002162F4" w:rsidRPr="00B804B6" w:rsidRDefault="002162F4" w:rsidP="00D85586">
            <w:pPr>
              <w:ind w:right="-18"/>
              <w:jc w:val="both"/>
              <w:rPr>
                <w:rFonts w:ascii="Arial" w:eastAsia="Calibri" w:hAnsi="Arial" w:cs="Arial"/>
                <w:b/>
              </w:rPr>
            </w:pPr>
          </w:p>
        </w:tc>
        <w:tc>
          <w:tcPr>
            <w:tcW w:w="1350" w:type="dxa"/>
            <w:shd w:val="clear" w:color="auto" w:fill="auto"/>
          </w:tcPr>
          <w:p w:rsidR="002162F4" w:rsidRPr="00B804B6" w:rsidRDefault="002162F4" w:rsidP="00D85586">
            <w:pPr>
              <w:ind w:right="-18"/>
              <w:jc w:val="both"/>
              <w:rPr>
                <w:rFonts w:ascii="Arial" w:eastAsia="Calibri" w:hAnsi="Arial" w:cs="Arial"/>
                <w:b/>
              </w:rPr>
            </w:pPr>
          </w:p>
        </w:tc>
        <w:tc>
          <w:tcPr>
            <w:tcW w:w="1266" w:type="dxa"/>
            <w:shd w:val="clear" w:color="auto" w:fill="auto"/>
          </w:tcPr>
          <w:p w:rsidR="002162F4" w:rsidRPr="00B804B6" w:rsidRDefault="002162F4" w:rsidP="00D85586">
            <w:pPr>
              <w:ind w:right="-18"/>
              <w:jc w:val="both"/>
              <w:rPr>
                <w:rFonts w:ascii="Arial" w:eastAsia="Calibri" w:hAnsi="Arial" w:cs="Arial"/>
                <w:b/>
              </w:rPr>
            </w:pPr>
          </w:p>
        </w:tc>
        <w:tc>
          <w:tcPr>
            <w:tcW w:w="1650" w:type="dxa"/>
            <w:shd w:val="clear" w:color="auto" w:fill="auto"/>
          </w:tcPr>
          <w:p w:rsidR="002162F4" w:rsidRPr="00B804B6" w:rsidRDefault="002162F4" w:rsidP="00D85586">
            <w:pPr>
              <w:ind w:right="-18"/>
              <w:jc w:val="both"/>
              <w:rPr>
                <w:rFonts w:ascii="Arial" w:eastAsia="Calibri" w:hAnsi="Arial" w:cs="Arial"/>
                <w:b/>
              </w:rPr>
            </w:pPr>
          </w:p>
        </w:tc>
      </w:tr>
      <w:tr w:rsidR="002162F4" w:rsidRPr="00B804B6" w:rsidTr="00D85586">
        <w:tc>
          <w:tcPr>
            <w:tcW w:w="4248" w:type="dxa"/>
            <w:shd w:val="clear" w:color="auto" w:fill="auto"/>
          </w:tcPr>
          <w:p w:rsidR="002162F4" w:rsidRPr="00B804B6" w:rsidRDefault="002162F4" w:rsidP="00D85586">
            <w:pPr>
              <w:ind w:right="-18"/>
              <w:jc w:val="both"/>
              <w:rPr>
                <w:rFonts w:ascii="Arial" w:eastAsia="Calibri" w:hAnsi="Arial" w:cs="Arial"/>
                <w:b/>
              </w:rPr>
            </w:pPr>
            <w:r w:rsidRPr="00B804B6">
              <w:rPr>
                <w:rFonts w:ascii="Arial" w:eastAsia="Calibri" w:hAnsi="Arial" w:cs="Arial"/>
                <w:b/>
              </w:rPr>
              <w:t>Totals</w:t>
            </w:r>
          </w:p>
        </w:tc>
        <w:tc>
          <w:tcPr>
            <w:tcW w:w="1350" w:type="dxa"/>
            <w:shd w:val="clear" w:color="auto" w:fill="auto"/>
          </w:tcPr>
          <w:p w:rsidR="002162F4" w:rsidRPr="00B804B6" w:rsidRDefault="002162F4" w:rsidP="00D85586">
            <w:pPr>
              <w:ind w:right="-18"/>
              <w:jc w:val="both"/>
              <w:rPr>
                <w:rFonts w:ascii="Arial" w:eastAsia="Calibri" w:hAnsi="Arial" w:cs="Arial"/>
                <w:b/>
              </w:rPr>
            </w:pPr>
          </w:p>
        </w:tc>
        <w:tc>
          <w:tcPr>
            <w:tcW w:w="1350" w:type="dxa"/>
            <w:shd w:val="clear" w:color="auto" w:fill="auto"/>
          </w:tcPr>
          <w:p w:rsidR="002162F4" w:rsidRPr="00B804B6" w:rsidRDefault="002162F4" w:rsidP="00D85586">
            <w:pPr>
              <w:ind w:right="-18"/>
              <w:jc w:val="both"/>
              <w:rPr>
                <w:rFonts w:ascii="Arial" w:eastAsia="Calibri" w:hAnsi="Arial" w:cs="Arial"/>
                <w:b/>
              </w:rPr>
            </w:pPr>
          </w:p>
        </w:tc>
        <w:tc>
          <w:tcPr>
            <w:tcW w:w="1266" w:type="dxa"/>
            <w:shd w:val="clear" w:color="auto" w:fill="auto"/>
          </w:tcPr>
          <w:p w:rsidR="002162F4" w:rsidRPr="00B804B6" w:rsidRDefault="002162F4" w:rsidP="00D85586">
            <w:pPr>
              <w:ind w:right="-18"/>
              <w:jc w:val="both"/>
              <w:rPr>
                <w:rFonts w:ascii="Arial" w:eastAsia="Calibri" w:hAnsi="Arial" w:cs="Arial"/>
                <w:b/>
              </w:rPr>
            </w:pPr>
          </w:p>
        </w:tc>
        <w:tc>
          <w:tcPr>
            <w:tcW w:w="1650" w:type="dxa"/>
            <w:shd w:val="clear" w:color="auto" w:fill="auto"/>
          </w:tcPr>
          <w:p w:rsidR="002162F4" w:rsidRPr="00B804B6" w:rsidRDefault="002162F4" w:rsidP="00D85586">
            <w:pPr>
              <w:ind w:right="-18"/>
              <w:jc w:val="both"/>
              <w:rPr>
                <w:rFonts w:ascii="Arial" w:eastAsia="Calibri" w:hAnsi="Arial" w:cs="Arial"/>
                <w:b/>
              </w:rPr>
            </w:pPr>
          </w:p>
        </w:tc>
      </w:tr>
    </w:tbl>
    <w:p w:rsidR="002162F4" w:rsidRDefault="002162F4"/>
    <w:sectPr w:rsidR="002162F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6FB" w:rsidRDefault="00D836FB" w:rsidP="002162F4">
      <w:r>
        <w:separator/>
      </w:r>
    </w:p>
  </w:endnote>
  <w:endnote w:type="continuationSeparator" w:id="0">
    <w:p w:rsidR="00D836FB" w:rsidRDefault="00D836FB" w:rsidP="00216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020131"/>
      <w:docPartObj>
        <w:docPartGallery w:val="Page Numbers (Bottom of Page)"/>
        <w:docPartUnique/>
      </w:docPartObj>
    </w:sdtPr>
    <w:sdtEndPr>
      <w:rPr>
        <w:noProof/>
      </w:rPr>
    </w:sdtEndPr>
    <w:sdtContent>
      <w:p w:rsidR="002162F4" w:rsidRDefault="002162F4">
        <w:pPr>
          <w:pStyle w:val="Footer"/>
        </w:pPr>
        <w:r>
          <w:fldChar w:fldCharType="begin"/>
        </w:r>
        <w:r>
          <w:instrText xml:space="preserve"> PAGE   \* MERGEFORMAT </w:instrText>
        </w:r>
        <w:r>
          <w:fldChar w:fldCharType="separate"/>
        </w:r>
        <w:r w:rsidR="005E5BFB">
          <w:rPr>
            <w:noProof/>
          </w:rPr>
          <w:t>1</w:t>
        </w:r>
        <w:r>
          <w:rPr>
            <w:noProof/>
          </w:rPr>
          <w:fldChar w:fldCharType="end"/>
        </w:r>
      </w:p>
    </w:sdtContent>
  </w:sdt>
  <w:p w:rsidR="002162F4" w:rsidRDefault="002162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6FB" w:rsidRDefault="00D836FB" w:rsidP="002162F4">
      <w:r>
        <w:separator/>
      </w:r>
    </w:p>
  </w:footnote>
  <w:footnote w:type="continuationSeparator" w:id="0">
    <w:p w:rsidR="00D836FB" w:rsidRDefault="00D836FB" w:rsidP="002162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139"/>
    <w:multiLevelType w:val="hybridMultilevel"/>
    <w:tmpl w:val="F3E6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36AE0"/>
    <w:multiLevelType w:val="hybridMultilevel"/>
    <w:tmpl w:val="11CE6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C3E84"/>
    <w:multiLevelType w:val="hybridMultilevel"/>
    <w:tmpl w:val="0964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7B23A7"/>
    <w:multiLevelType w:val="hybridMultilevel"/>
    <w:tmpl w:val="11CE6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653260"/>
    <w:multiLevelType w:val="hybridMultilevel"/>
    <w:tmpl w:val="E24E7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FE4FC2"/>
    <w:multiLevelType w:val="hybridMultilevel"/>
    <w:tmpl w:val="F66299F2"/>
    <w:lvl w:ilvl="0" w:tplc="24090005">
      <w:start w:val="1"/>
      <w:numFmt w:val="bullet"/>
      <w:lvlText w:val=""/>
      <w:lvlJc w:val="left"/>
      <w:pPr>
        <w:ind w:left="720" w:hanging="360"/>
      </w:pPr>
      <w:rPr>
        <w:rFonts w:ascii="Wingdings" w:hAnsi="Wingding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86"/>
    <w:rsid w:val="00082286"/>
    <w:rsid w:val="000C15C7"/>
    <w:rsid w:val="002162F4"/>
    <w:rsid w:val="004B61C7"/>
    <w:rsid w:val="004E5302"/>
    <w:rsid w:val="005E5BFB"/>
    <w:rsid w:val="00610C09"/>
    <w:rsid w:val="00621D5A"/>
    <w:rsid w:val="00676BB0"/>
    <w:rsid w:val="008D35D2"/>
    <w:rsid w:val="00993369"/>
    <w:rsid w:val="00AE73EC"/>
    <w:rsid w:val="00CF7A57"/>
    <w:rsid w:val="00D836FB"/>
    <w:rsid w:val="00F806DF"/>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76A7C-88C5-4148-B608-2BD68DB9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8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2286"/>
    <w:rPr>
      <w:color w:val="0000FF"/>
      <w:u w:val="single"/>
    </w:rPr>
  </w:style>
  <w:style w:type="paragraph" w:styleId="NoSpacing">
    <w:name w:val="No Spacing"/>
    <w:uiPriority w:val="1"/>
    <w:qFormat/>
    <w:rsid w:val="00082286"/>
    <w:pPr>
      <w:spacing w:after="0" w:line="240" w:lineRule="auto"/>
    </w:pPr>
    <w:rPr>
      <w:rFonts w:ascii="Calibri" w:eastAsia="Calibri" w:hAnsi="Calibri" w:cs="Times New Roman"/>
      <w:lang w:val="en-GB"/>
    </w:rPr>
  </w:style>
  <w:style w:type="paragraph" w:styleId="ListParagraph">
    <w:name w:val="List Paragraph"/>
    <w:basedOn w:val="Normal"/>
    <w:uiPriority w:val="34"/>
    <w:qFormat/>
    <w:rsid w:val="00082286"/>
    <w:pPr>
      <w:spacing w:after="200" w:line="276" w:lineRule="auto"/>
      <w:ind w:left="720"/>
      <w:contextualSpacing/>
    </w:pPr>
    <w:rPr>
      <w:rFonts w:ascii="Calibri" w:eastAsia="Calibri" w:hAnsi="Calibri"/>
      <w:sz w:val="22"/>
      <w:szCs w:val="22"/>
      <w:lang w:val="en-029"/>
    </w:rPr>
  </w:style>
  <w:style w:type="table" w:styleId="TableGrid">
    <w:name w:val="Table Grid"/>
    <w:basedOn w:val="TableNormal"/>
    <w:uiPriority w:val="39"/>
    <w:rsid w:val="00AE7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2162F4"/>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Header">
    <w:name w:val="header"/>
    <w:basedOn w:val="Normal"/>
    <w:link w:val="HeaderChar"/>
    <w:uiPriority w:val="99"/>
    <w:unhideWhenUsed/>
    <w:rsid w:val="002162F4"/>
    <w:pPr>
      <w:tabs>
        <w:tab w:val="center" w:pos="4680"/>
        <w:tab w:val="right" w:pos="9360"/>
      </w:tabs>
    </w:pPr>
  </w:style>
  <w:style w:type="character" w:customStyle="1" w:styleId="HeaderChar">
    <w:name w:val="Header Char"/>
    <w:basedOn w:val="DefaultParagraphFont"/>
    <w:link w:val="Header"/>
    <w:uiPriority w:val="99"/>
    <w:rsid w:val="002162F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62F4"/>
    <w:pPr>
      <w:tabs>
        <w:tab w:val="center" w:pos="4680"/>
        <w:tab w:val="right" w:pos="9360"/>
      </w:tabs>
    </w:pPr>
  </w:style>
  <w:style w:type="character" w:customStyle="1" w:styleId="FooterChar">
    <w:name w:val="Footer Char"/>
    <w:basedOn w:val="DefaultParagraphFont"/>
    <w:link w:val="Footer"/>
    <w:uiPriority w:val="99"/>
    <w:rsid w:val="002162F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g@gov.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rev@gov.ms"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Harjinder Jutle</dc:creator>
  <cp:keywords/>
  <dc:description/>
  <cp:lastModifiedBy>Hyacinth Lindsey</cp:lastModifiedBy>
  <cp:revision>2</cp:revision>
  <dcterms:created xsi:type="dcterms:W3CDTF">2017-11-30T20:20:00Z</dcterms:created>
  <dcterms:modified xsi:type="dcterms:W3CDTF">2017-11-30T20:20:00Z</dcterms:modified>
</cp:coreProperties>
</file>